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5B" w:rsidRPr="00ED685B" w:rsidRDefault="00ED685B" w:rsidP="00ED685B">
      <w:pPr>
        <w:spacing w:after="75" w:line="450" w:lineRule="atLeast"/>
        <w:outlineLvl w:val="0"/>
        <w:rPr>
          <w:rFonts w:ascii="Cambria" w:eastAsia="Times New Roman" w:hAnsi="Cambria" w:cs="Times New Roman"/>
          <w:color w:val="2A76A7"/>
          <w:kern w:val="36"/>
          <w:sz w:val="42"/>
          <w:szCs w:val="42"/>
        </w:rPr>
      </w:pP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Ordinul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nr. 206/2018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privind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procedura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de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stabilire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și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înregistrare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a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mărcilor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de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responsabilitate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la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Autoritatea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Națională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pentru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Protecția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Consumatorilor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,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pentru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operatorii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economici</w:t>
      </w:r>
      <w:proofErr w:type="spellEnd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ED685B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naționali</w:t>
      </w:r>
      <w:proofErr w:type="spellEnd"/>
    </w:p>
    <w:p w:rsidR="00ED685B" w:rsidRPr="00ED685B" w:rsidRDefault="00ED685B" w:rsidP="00ED68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Text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>publicat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>M.Of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al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D685B" w:rsidRPr="00ED685B" w:rsidRDefault="00ED685B" w:rsidP="00ED685B">
      <w:pPr>
        <w:spacing w:after="4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ED685B">
        <w:rPr>
          <w:rFonts w:ascii="Times New Roman" w:eastAsia="Times New Roman" w:hAnsi="Times New Roman" w:cs="Times New Roman"/>
          <w:sz w:val="24"/>
          <w:szCs w:val="24"/>
        </w:rPr>
        <w:t xml:space="preserve"> de la 26 </w:t>
      </w:r>
      <w:proofErr w:type="spellStart"/>
      <w:r w:rsidRPr="00ED685B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ED685B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:rsidR="00ED685B" w:rsidRPr="00ED685B" w:rsidRDefault="00ED685B" w:rsidP="00ED685B">
      <w:pPr>
        <w:spacing w:after="30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Acest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document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poate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avea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modificări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ulterioare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Cumpărați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documentul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în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ED685B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lege5.ro/Buy/Document?ReturnUrl=%2FApp%2FDocument%2Fgi3tqnbtge3q%2Fordinul-nr-206-2018-privind-procedura-de-stabilire-si-inregistrare-a-marcilor-de-responsabilitate-la-autoritatea-nationala-pentru-protectia-consumatorilor-pentru-operatorii-economici-nationali&amp;id=gi3tqnbtge3q" </w:instrText>
      </w:r>
      <w:r w:rsidRPr="00ED685B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ED685B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>formă</w:t>
      </w:r>
      <w:proofErr w:type="spellEnd"/>
      <w:r w:rsidRPr="00ED685B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 xml:space="preserve"> </w:t>
      </w:r>
      <w:proofErr w:type="spellStart"/>
      <w:r w:rsidRPr="00ED685B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>actualizată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ED685B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alegeți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un 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ED685B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"http://lege5.ro/Buy" \t "_blank" </w:instrText>
      </w:r>
      <w:r w:rsidRPr="00ED685B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ED685B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>abonament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 Lege5 care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permite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accesul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la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orice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formă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D685B">
        <w:rPr>
          <w:rFonts w:ascii="Arial" w:eastAsia="Times New Roman" w:hAnsi="Arial" w:cs="Arial"/>
          <w:color w:val="000000"/>
          <w:sz w:val="21"/>
          <w:szCs w:val="21"/>
        </w:rPr>
        <w:t>actualizată</w:t>
      </w:r>
      <w:proofErr w:type="spellEnd"/>
      <w:r w:rsidRPr="00ED685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D685B" w:rsidRPr="00ED685B" w:rsidRDefault="00ED685B" w:rsidP="00ED685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D685B">
        <w:rPr>
          <w:rFonts w:ascii="Arial" w:eastAsia="Times New Roman" w:hAnsi="Arial" w:cs="Arial"/>
          <w:vanish/>
          <w:sz w:val="16"/>
          <w:szCs w:val="16"/>
        </w:rPr>
        <w:t>Partea inferioară a formularului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temeiul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art. 5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"https://lege5.ro/Gratuit/gmzdenruhe/hotararea-nr-700-2012-privind-organizarea-si-functionarea-autoritatii-nationale-pentru-protectia-consumatorilor?pid=61623964&amp;d=2018-05-02" \l "p-61623964" \t "_blank" </w:instrTex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ED685B">
        <w:rPr>
          <w:rFonts w:ascii="Times New Roman" w:eastAsia="Times New Roman" w:hAnsi="Times New Roman" w:cs="Times New Roman"/>
          <w:color w:val="1A86B6"/>
          <w:sz w:val="24"/>
          <w:szCs w:val="24"/>
        </w:rPr>
        <w:t>alin</w:t>
      </w:r>
      <w:proofErr w:type="spellEnd"/>
      <w:r w:rsidRPr="00ED685B">
        <w:rPr>
          <w:rFonts w:ascii="Times New Roman" w:eastAsia="Times New Roman" w:hAnsi="Times New Roman" w:cs="Times New Roman"/>
          <w:color w:val="1A86B6"/>
          <w:sz w:val="24"/>
          <w:szCs w:val="24"/>
        </w:rPr>
        <w:t>. (5)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700/2012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organizarea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funcționarea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, al art. 13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"https://lege5.ro/Gratuit/geytinjvge/ordonanta-de-urgenta-nr-190-2000-privind-regimul-metalelor-pretioase-si-pietrelor-pretioase-in-romania?pid=254331572&amp;d=2018-05-02" \l "p-254331572" \t "_blank" </w:instrTex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ED685B">
        <w:rPr>
          <w:rFonts w:ascii="Times New Roman" w:eastAsia="Times New Roman" w:hAnsi="Times New Roman" w:cs="Times New Roman"/>
          <w:color w:val="1A86B6"/>
          <w:sz w:val="24"/>
          <w:szCs w:val="24"/>
        </w:rPr>
        <w:t>alin</w:t>
      </w:r>
      <w:proofErr w:type="spellEnd"/>
      <w:r w:rsidRPr="00ED685B">
        <w:rPr>
          <w:rFonts w:ascii="Times New Roman" w:eastAsia="Times New Roman" w:hAnsi="Times New Roman" w:cs="Times New Roman"/>
          <w:color w:val="1A86B6"/>
          <w:sz w:val="24"/>
          <w:szCs w:val="24"/>
        </w:rPr>
        <w:t>. (7)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urgență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190/2000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regimul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Romania,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republicată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având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vedere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Referatul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414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14.03.2018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Direcției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Proces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Kimberley,</w:t>
      </w:r>
    </w:p>
    <w:p w:rsidR="00ED685B" w:rsidRP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președintele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emite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următorul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1.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aplică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economici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desfășoare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care pun pe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piață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obiecte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2.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(1)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Conținutul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fi: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format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dintr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-un cod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alfanumeric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literele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reprezintă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simbolul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județului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respectiv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municipiului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București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unde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sediul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iar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cifrele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reprezintă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numărul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stabilit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;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format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dintr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-o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combinație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litere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reprezinte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inițialele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numelui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denumirii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(2)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Conținutul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înscrie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într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-o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elipsă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într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-un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dreptunghi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conform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solicitării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3. -</w:t>
      </w: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Modelele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utilizate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către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producătorii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importatorii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obiecte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sunt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5" w:anchor="p-257419851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1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lastRenderedPageBreak/>
        <w:t xml:space="preserve">Art. 4. </w:t>
      </w:r>
      <w:r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–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stabilirea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conținutului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economici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completa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transmite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cerere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cărei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model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este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6" w:anchor="p-257419857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2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5.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termen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30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zile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la data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cererii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comunica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conținutul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împreună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schița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acesteia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eliberând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sens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adeverință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cărei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model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este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7" w:anchor="p-257419860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3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6.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(1)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Înainte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aplicarea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economici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trebuie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înregistreze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(2)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realizează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amprentarea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fotografierea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înscrierea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registrul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evidență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acestora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eliberarea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unui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cărui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model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este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8" w:anchor="p-257419870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4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cuprinde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informații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legate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desfigurarea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(3)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fiecare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percepe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un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tarif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care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achita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plată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mandat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poștal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RO31TREZ7005032XXX004173,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deschis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Trezorerie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Contabilitate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Publică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Municipiului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București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cod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unic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4266502.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(4)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vederea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economici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adeverința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eliberată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s-a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stabilit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conținutul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cărei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model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este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9" w:anchor="p-257419879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5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cuprinde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solicitarea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desfigurare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situațiile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poansoanele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gravate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dovada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achitării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tarifului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(5)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situația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dorește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aplice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ajutorul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unui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dispozitiv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laser,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procedura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rămâne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neschimbată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fi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obligat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prezinte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predea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plăcuță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metal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comun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care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gravată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7.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(1)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Poansoanele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nu sunt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transmisibile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(2)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Poansoanele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uzate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scoase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uz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preda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vederea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desfigurării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(3)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cazul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încetării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suspendării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sub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orice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formă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economic, precum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cazul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schimbării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obiectului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poansoanele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fi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aduse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vederea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desfigurării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după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vederea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păstrării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acestora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toată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perioada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suspendării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termen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15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zile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lucrătoare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la data la care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intervenit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modificarea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obiectul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persoanei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fizice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persoanei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juridice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(4)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cazul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pierderii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poansonului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acestuia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economic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 o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declarație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propria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sens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care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fi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depusă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(5)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situațiile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solicită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desfigurarea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completa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0" w:anchor="p-257419879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5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(6)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Operatorii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economici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îndeplini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procedura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 </w:t>
      </w:r>
      <w:hyperlink r:id="rId11" w:anchor="p-257419825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art. 6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câte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confecționează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noi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poansoane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stabilită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8.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Anexele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2" w:anchor="p-257419851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1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hyperlink r:id="rId13" w:anchor="p-257419879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5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fac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parte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integrantă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9. -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La data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intrării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vigoare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președintelui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4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nr. 214/2011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modelele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garanție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proprie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procedura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stabilire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acestora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publicat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Monitorul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Oficial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României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Partea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I, nr. 818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19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noiembrie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2011,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abrogă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before="225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Art. 10. -</w:t>
      </w: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publică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Monitorul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Oficial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României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Partea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5275"/>
        <w:gridCol w:w="11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Președintele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Autorității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Consumatorilor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Marius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Pîrvu</w:t>
            </w:r>
            <w:proofErr w:type="spellEnd"/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București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24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aprilie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2018.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Nr. 206.</w:t>
      </w:r>
    </w:p>
    <w:p w:rsid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P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ANEXA Nr. 1</w:t>
      </w:r>
    </w:p>
    <w:p w:rsid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MODELUL</w:t>
      </w: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utilizate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către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operatorii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economici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autorizați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să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desfășoare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operațiuni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prețioase</w:t>
      </w:r>
      <w:proofErr w:type="spellEnd"/>
    </w:p>
    <w:p w:rsid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Conform art. 2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alin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(1) </w:t>
      </w:r>
      <w:hyperlink r:id="rId15" w:anchor="p-257419816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lit. a)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președintelui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206/2018 (cu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titlu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exemplificativ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530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B000</w:t>
            </w:r>
          </w:p>
        </w:tc>
      </w:tr>
    </w:tbl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Conform art. 2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alin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(1) </w:t>
      </w:r>
      <w:hyperlink r:id="rId16" w:anchor="p-257419817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lit. b)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Ordinul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președintelui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206/2018 (cu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titlu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exemplificativ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1541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AB GL</w:t>
            </w:r>
          </w:p>
        </w:tc>
      </w:tr>
    </w:tbl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ANEXA Nr. 2</w:t>
      </w:r>
    </w:p>
    <w:p w:rsid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CERERE</w:t>
      </w: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stabilirea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conținutului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responsabilitate</w:t>
      </w:r>
      <w:proofErr w:type="spellEnd"/>
    </w:p>
    <w:p w:rsid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3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149"/>
        <w:gridCol w:w="1859"/>
        <w:gridCol w:w="3303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S.C./P.F.A./A.F.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  . . . . . . . . . .</w:t>
            </w:r>
          </w:p>
        </w:tc>
      </w:tr>
      <w:tr w:rsidR="00ED685B" w:rsidRPr="00ED685B" w:rsidTr="00ED685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social/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Domiciliul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., fax . . . . . . . . . ., e-mail . . . . . . . . . .</w:t>
            </w:r>
          </w:p>
        </w:tc>
      </w:tr>
      <w:tr w:rsidR="00ED685B" w:rsidRPr="00ED685B" w:rsidTr="00ED685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Autorizație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A.N.P.C. nr.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din data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</w:p>
        </w:tc>
      </w:tr>
      <w:tr w:rsidR="00ED685B" w:rsidRPr="00ED685B" w:rsidTr="00ED685B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Solicit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atribuirea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mărcii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conform: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art. 2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alin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(1) lit. a) din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președintelui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Autorității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Consumatorilor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206/2018, cu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următorul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conținut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.,</w:t>
            </w:r>
          </w:p>
        </w:tc>
      </w:tr>
      <w:tr w:rsidR="00ED685B" w:rsidRPr="00ED685B" w:rsidTr="00ED685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6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încadrat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elipsă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□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dreptunghi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□</w:t>
            </w:r>
          </w:p>
        </w:tc>
      </w:tr>
      <w:tr w:rsidR="00ED685B" w:rsidRPr="00ED685B" w:rsidTr="00ED685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333333"/>
              <w:left w:val="single" w:sz="6" w:space="0" w:color="333333"/>
              <w:bottom w:val="single" w:sz="2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art. 2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alin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(1) lit. b) din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președintelui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Autorității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Consumatorilor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206/2018, cu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următorul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conținut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.,</w:t>
            </w:r>
          </w:p>
        </w:tc>
      </w:tr>
      <w:tr w:rsidR="00ED685B" w:rsidRPr="00ED685B" w:rsidTr="00ED685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6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încadrat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elipsă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□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dreptunghi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□</w:t>
            </w:r>
          </w:p>
        </w:tc>
      </w:tr>
      <w:tr w:rsidR="00ED685B" w:rsidRPr="00ED685B" w:rsidTr="00ED685B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Cunoscând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dispozițiile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falsul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declarații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declar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propria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răspundere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cele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sus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corespund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adevărului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numele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prenumele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persoanei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prezintă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calitate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. . . . . . . . . .,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legitimat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B.I./C.I.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seria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</w:p>
        </w:tc>
      </w:tr>
      <w:tr w:rsidR="00ED685B" w:rsidRPr="00ED685B" w:rsidTr="00ED685B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Data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S.C./P.F.A./A.F. . . . . . . . . . .</w:t>
            </w:r>
          </w:p>
        </w:tc>
      </w:tr>
    </w:tbl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lastRenderedPageBreak/>
        <w:t>ANEXA Nr. 3</w:t>
      </w:r>
    </w:p>
    <w:p w:rsidR="00ED685B" w:rsidRP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ADEVERINȚĂ</w:t>
      </w: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privind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stabilirea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conținutului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responsabilitate</w:t>
      </w:r>
      <w:proofErr w:type="spellEnd"/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S.C./P.F.A./A.F.: . . . . . .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Sediul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social/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Domiciliul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. . . . . .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 . . . . . .</w:t>
      </w: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dumneavoastră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nr. . . . . .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./ . . . . . . . . . .,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facem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cunoscut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stabilită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S.C./P.F.A./A.F. . . . . . . . . . .,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temeiul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art. 14 </w:t>
      </w:r>
      <w:hyperlink r:id="rId17" w:anchor="p-254331580" w:tgtFrame="_blank" w:history="1">
        <w:r w:rsidRPr="00ED685B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lit. d)</w:t>
        </w:r>
      </w:hyperlink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urgență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190/2000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regimul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România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republicată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este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cum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urmează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5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1459"/>
        <w:gridCol w:w="50"/>
        <w:gridCol w:w="50"/>
        <w:gridCol w:w="1983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B000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AB.GL</w:t>
            </w:r>
          </w:p>
        </w:tc>
      </w:tr>
    </w:tbl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Înainte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aplicare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trebuie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.*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*)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face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sediul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Direcției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Proces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Kimberley din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București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sectorul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5, str.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Fabrica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Chibrituri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30,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poarta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III,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incinta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Regiei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Autonome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"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Monetăria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Statului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",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: 021.312.82.37.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2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1142"/>
        <w:gridCol w:w="1142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Director,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Întocmit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</w:p>
        </w:tc>
      </w:tr>
    </w:tbl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5D6BA8" w:rsidRDefault="005D6BA8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  <w:bookmarkStart w:id="0" w:name="_GoBack"/>
      <w:bookmarkEnd w:id="0"/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lastRenderedPageBreak/>
        <w:t>ANEXA Nr. 4</w:t>
      </w:r>
    </w:p>
    <w:p w:rsidR="00ED685B" w:rsidRP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CERTIFICAT</w:t>
      </w: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  <w:t xml:space="preserve">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* a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  <w:t xml:space="preserve">Nr. . . . . . </w:t>
      </w:r>
      <w:proofErr w:type="gram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. . . .</w:t>
      </w:r>
      <w:proofErr w:type="gram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. din . . . . . . </w:t>
      </w:r>
      <w:proofErr w:type="gram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. . . .</w:t>
      </w:r>
      <w:proofErr w:type="gramEnd"/>
    </w:p>
    <w:p w:rsidR="00ED685B" w:rsidRP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Acest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document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solicitarea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desfigurării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garanție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proprii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atestă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indicativul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aparținând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S.C./P.F.A./A.F. . . . . . . . . . .,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sediul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social/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domiciliul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str. . . . . . . . . . . nr. . . . . .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., bl. . . . . . . . . . ., sc. . . . . . . . . . ., et. . . . . . . . . . ., ap. . . . . . . . . . .,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județul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sectorul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posesoarea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autorizației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efectuarea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din data de . . . . . . </w:t>
      </w:r>
      <w:proofErr w:type="gram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s-a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efectuat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amprentarea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fotografierea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înscrierea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registrul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evidență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mărcilor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responsabilitate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nr. . . . . . . . . . . .</w:t>
      </w:r>
    </w:p>
    <w:tbl>
      <w:tblPr>
        <w:tblW w:w="3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811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Fotografie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marcă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</w:p>
        </w:tc>
      </w:tr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Autoritatea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Consumatorilor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</w:p>
        </w:tc>
      </w:tr>
    </w:tbl>
    <w:p w:rsidR="00ED685B" w:rsidRPr="00ED685B" w:rsidRDefault="00ED685B" w:rsidP="00ED685B">
      <w:pPr>
        <w:spacing w:line="240" w:lineRule="auto"/>
        <w:jc w:val="center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58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791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Marcă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desfigurată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de**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Autoritatea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Consumatorilor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</w:p>
        </w:tc>
      </w:tr>
    </w:tbl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685B" w:rsidRPr="00ED685B" w:rsidRDefault="00ED685B" w:rsidP="00ED685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</w:t>
      </w:r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completează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numai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către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reprezentantul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Autorității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Consumatorilor</w:t>
      </w:r>
      <w:proofErr w:type="spellEnd"/>
      <w:r w:rsidRPr="00ED685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ED685B" w:rsidRPr="00ED685B" w:rsidRDefault="00ED685B" w:rsidP="00ED685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ANEXA Nr. 5</w:t>
      </w:r>
    </w:p>
    <w:p w:rsidR="00ED685B" w:rsidRPr="00ED685B" w:rsidRDefault="00ED685B" w:rsidP="00ED68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CERERE</w:t>
      </w:r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  <w:t xml:space="preserve">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înregistrare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a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mărcii</w:t>
      </w:r>
      <w:proofErr w:type="spellEnd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ED685B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responsabilitate</w:t>
      </w:r>
      <w:proofErr w:type="spellEnd"/>
    </w:p>
    <w:p w:rsidR="00ED685B" w:rsidRPr="00ED685B" w:rsidRDefault="00ED685B" w:rsidP="00ED68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9118"/>
        <w:gridCol w:w="33"/>
      </w:tblGrid>
      <w:tr w:rsidR="00ED685B" w:rsidRPr="00ED685B" w:rsidTr="00ED685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85B" w:rsidRPr="00ED685B" w:rsidTr="00ED685B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S.C./P.F.A./A.F.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Autorizație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Autoritatea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Consumatorilor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. . .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./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. . . . . . . . ., CIF . . . . . . . . .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registrul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comerțului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cont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. . . . . . . . .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deschis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. . . . . . . . .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/fax nr. . . . . . . . . . .</w:t>
            </w:r>
          </w:p>
        </w:tc>
      </w:tr>
      <w:tr w:rsidR="00ED685B" w:rsidRPr="00ED685B" w:rsidTr="00ED685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social/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Domiciliul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str.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., bl. . . . . . . . . . ., sc. . . . . . . . . . ., ap. . . . . . . . . .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localitatea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județul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sectorul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</w:t>
            </w:r>
          </w:p>
        </w:tc>
      </w:tr>
      <w:tr w:rsidR="00ED685B" w:rsidRPr="00ED685B" w:rsidTr="00ED685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Solicit:</w:t>
            </w:r>
          </w:p>
        </w:tc>
      </w:tr>
      <w:tr w:rsidR="00ED685B" w:rsidRPr="00ED685B" w:rsidTr="00ED685B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marcă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Dimensiune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Delegat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legitimat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B.I./C.I.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seria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 nr.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eliberat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(ă) de . . . . . . . . . ., CNP . . . . . . . . . .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Ștampila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Data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</w:p>
        </w:tc>
      </w:tr>
      <w:tr w:rsidR="00ED685B" w:rsidRPr="00ED685B" w:rsidTr="00ED685B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Desfigurare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marcă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Delegat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legitimat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B.I./C.I.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seria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. . . . nr.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.,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eliberat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(ă) de . . . . . . . . . ., CNP . . . . . . . . . .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Motivul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desfigurării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Ștampila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Data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</w:p>
        </w:tc>
      </w:tr>
      <w:tr w:rsidR="00ED685B" w:rsidRPr="00ED685B" w:rsidTr="00ED685B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Am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primit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marcă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poansonul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aferent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Nume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prenume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Data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Ștampila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D685B" w:rsidRPr="00ED685B" w:rsidTr="00ED685B">
        <w:trPr>
          <w:trHeight w:val="14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Am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primit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marcă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responsabilitate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poansonul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aferent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desfigurat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Nume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prenume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Data . . . . . . </w:t>
            </w:r>
            <w:proofErr w:type="gram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. . . .</w:t>
            </w:r>
            <w:proofErr w:type="gram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D685B">
              <w:rPr>
                <w:rFonts w:ascii="Times New Roman" w:eastAsia="Times New Roman" w:hAnsi="Times New Roman" w:cs="Times New Roman"/>
                <w:sz w:val="21"/>
                <w:szCs w:val="21"/>
              </w:rPr>
              <w:t>Ștampila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D685B" w:rsidRPr="00ED685B" w:rsidRDefault="00ED685B" w:rsidP="00ED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ED685B" w:rsidRPr="00ED685B" w:rsidRDefault="00ED685B" w:rsidP="00ED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DA6" w:rsidRDefault="00066DA6"/>
    <w:sectPr w:rsidR="00066DA6" w:rsidSect="00ED685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760E2"/>
    <w:multiLevelType w:val="multilevel"/>
    <w:tmpl w:val="F31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D3D80"/>
    <w:multiLevelType w:val="multilevel"/>
    <w:tmpl w:val="296A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5B"/>
    <w:rsid w:val="00066DA6"/>
    <w:rsid w:val="005D6BA8"/>
    <w:rsid w:val="00E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7954"/>
  <w15:chartTrackingRefBased/>
  <w15:docId w15:val="{E01A8D3C-A942-402D-9B21-BFEAE6B1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D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48" w:space="0" w:color="DDDDDD"/>
                <w:right w:val="none" w:sz="0" w:space="0" w:color="auto"/>
              </w:divBdr>
              <w:divsChild>
                <w:div w:id="1569220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5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69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7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8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70&amp;d=2018-05-02" TargetMode="External"/><Relationship Id="rId13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79&amp;d=2018-05-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60&amp;d=2018-05-02" TargetMode="External"/><Relationship Id="rId12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51&amp;d=2018-05-02" TargetMode="External"/><Relationship Id="rId17" Type="http://schemas.openxmlformats.org/officeDocument/2006/relationships/hyperlink" Target="https://lege5.ro/Gratuit/geytinjvge/ordonanta-de-urgenta-nr-190-2000-privind-regimul-metalelor-pretioase-si-pietrelor-pretioase-in-romania?pid=254331580&amp;d=2018-05-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17&amp;d=2018-05-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57&amp;d=2018-05-02" TargetMode="External"/><Relationship Id="rId11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25&amp;d=2018-05-02" TargetMode="External"/><Relationship Id="rId5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51&amp;d=2018-05-02" TargetMode="External"/><Relationship Id="rId15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16&amp;d=2018-05-02" TargetMode="External"/><Relationship Id="rId10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79&amp;d=2018-05-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ge5.ro/Gratuit/gi3tqnbtge3q/ordinul-nr-206-2018-privind-procedura-de-stabilire-si-inregistrare-a-marcilor-de-responsabilitate-la-autoritatea-nationala-pentru-protectia-consumatorilor-pentru-operatorii-economici-nationali?pid=257419879&amp;d=2018-05-02" TargetMode="External"/><Relationship Id="rId14" Type="http://schemas.openxmlformats.org/officeDocument/2006/relationships/hyperlink" Target="https://lege5.ro/Gratuit/gi3dgnrwha/ordinul-nr-214-2011-privind-modelele-marcilor-de-garantie-proprie-si-procedura-de-stabilire-si-inregistrare-a-acestora-la-autoritatea-nationala-pentru-protectia-consumatorilor?d=2018-05-0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Neagoe</dc:creator>
  <cp:keywords/>
  <dc:description/>
  <cp:lastModifiedBy>Roxana Neagoe</cp:lastModifiedBy>
  <cp:revision>2</cp:revision>
  <dcterms:created xsi:type="dcterms:W3CDTF">2018-05-02T06:57:00Z</dcterms:created>
  <dcterms:modified xsi:type="dcterms:W3CDTF">2018-05-02T07:07:00Z</dcterms:modified>
</cp:coreProperties>
</file>