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A03" w:rsidRPr="003B5A03" w:rsidRDefault="00AC703B" w:rsidP="003B5A03">
      <w:pPr>
        <w:pStyle w:val="spar"/>
        <w:spacing w:before="120"/>
        <w:ind w:left="3825" w:firstLine="495"/>
        <w:jc w:val="both"/>
        <w:rPr>
          <w:rFonts w:ascii="Trebuchet MS" w:hAnsi="Trebuchet MS"/>
          <w:b/>
          <w:sz w:val="22"/>
          <w:szCs w:val="20"/>
          <w:shd w:val="clear" w:color="auto" w:fill="FFFFFF"/>
        </w:rPr>
      </w:pPr>
      <w:r w:rsidRPr="003B5A03">
        <w:rPr>
          <w:rFonts w:ascii="Trebuchet MS" w:hAnsi="Trebuchet MS"/>
          <w:b/>
          <w:sz w:val="22"/>
          <w:szCs w:val="20"/>
          <w:shd w:val="clear" w:color="auto" w:fill="FFFFFF"/>
        </w:rPr>
        <w:t xml:space="preserve">ANEXA Nr. 1 </w:t>
      </w:r>
    </w:p>
    <w:p w:rsidR="00AC703B" w:rsidRPr="003B5A03" w:rsidRDefault="00AC703B" w:rsidP="003B5A03">
      <w:pPr>
        <w:pStyle w:val="spar"/>
        <w:spacing w:before="120"/>
        <w:ind w:left="7425"/>
        <w:jc w:val="both"/>
        <w:rPr>
          <w:rFonts w:ascii="Trebuchet MS" w:hAnsi="Trebuchet MS"/>
          <w:sz w:val="22"/>
          <w:szCs w:val="20"/>
          <w:shd w:val="clear" w:color="auto" w:fill="FFFFFF"/>
        </w:rPr>
      </w:pPr>
      <w:r w:rsidRPr="003B5A03">
        <w:rPr>
          <w:rFonts w:ascii="Trebuchet MS" w:hAnsi="Trebuchet MS"/>
          <w:sz w:val="22"/>
          <w:szCs w:val="20"/>
          <w:shd w:val="clear" w:color="auto" w:fill="FFFFFF"/>
        </w:rPr>
        <w:t>la procedură</w:t>
      </w:r>
    </w:p>
    <w:p w:rsidR="003B5A03" w:rsidRPr="003B5A03" w:rsidRDefault="003B5A03" w:rsidP="003B5A03">
      <w:pPr>
        <w:pStyle w:val="spar"/>
        <w:spacing w:before="120"/>
        <w:jc w:val="both"/>
        <w:rPr>
          <w:rFonts w:ascii="Trebuchet MS" w:hAnsi="Trebuchet MS"/>
          <w:sz w:val="22"/>
          <w:szCs w:val="20"/>
          <w:shd w:val="clear" w:color="auto" w:fill="FFFFFF"/>
        </w:rPr>
      </w:pP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Declaraţie de opoziţie motivată faţă de cererea de înregistrare a unei indicaţii geografice pentru băuturi spirtoase</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1. Denumirea băuturii spirtoase (astfel cum este menţionat în cererea de înregistrare) . . . . . . . . . .</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2. Referinţa oficială (astfel cum este publicată pe site-ul oficial al Ministerului Agriculturii şi Dezvoltării Rurale) . . . . . . . . . .</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Numărul de referinţă, data publicării pe site-ul Ministerului Agriculturii şi Dezvoltării Rurale . . . . . . . . . .</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3. Date de contact ale oponentului:</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Numele oponentului . . . . . . . . . .</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Funcţia . . . . . . . . . .</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Grup/Organizaţie/Persoană . . . . . . . . . .</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Adresă . . . . . . . . . ., telefon/adresă de e-mail . . . . . . . . . .</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4. Motivul opoziţiei naţionale:</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(Se bifează motivul relevant.)</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 xml:space="preserve">□ nerespectarea condiţiilor menţionate la art. 3 </w:t>
      </w:r>
      <w:hyperlink r:id="rId4" w:anchor="p-286863492" w:tgtFrame="_blank" w:history="1">
        <w:r w:rsidRPr="003B5A03">
          <w:rPr>
            <w:rFonts w:ascii="Trebuchet MS" w:hAnsi="Trebuchet MS"/>
            <w:sz w:val="22"/>
            <w:szCs w:val="20"/>
            <w:shd w:val="clear" w:color="auto" w:fill="FFFFFF"/>
          </w:rPr>
          <w:t>pct. 4</w:t>
        </w:r>
      </w:hyperlink>
      <w:r w:rsidRPr="003B5A03">
        <w:rPr>
          <w:rFonts w:ascii="Trebuchet MS" w:hAnsi="Trebuchet MS"/>
          <w:sz w:val="22"/>
          <w:szCs w:val="20"/>
          <w:shd w:val="clear" w:color="auto" w:fill="FFFFFF"/>
        </w:rPr>
        <w:t xml:space="preserve"> din Regulamentul (UE) 2019/787 al Parlamentului European şi al Consiliului din 17 aprilie 2019 privind definirea, descrierea, prezentarea şi etichetarea băuturilor spirtoase, utilizarea denumirilor băuturilor spirtoase în prezentarea şi etichetarea altor produse alimentare, protecţia indicaţiilor geografice ale băuturilor spirtoase, utilizarea alcoolului etilic şi a distilatelor de origine agricolă în băuturile alcoolice şi de abrogare a Regulamentului (CE) </w:t>
      </w:r>
      <w:hyperlink r:id="rId5" w:tgtFrame="_blank" w:history="1">
        <w:r w:rsidRPr="003B5A03">
          <w:rPr>
            <w:rFonts w:ascii="Trebuchet MS" w:hAnsi="Trebuchet MS"/>
            <w:sz w:val="22"/>
            <w:szCs w:val="20"/>
            <w:shd w:val="clear" w:color="auto" w:fill="FFFFFF"/>
          </w:rPr>
          <w:t>nr. 110/2008</w:t>
        </w:r>
      </w:hyperlink>
      <w:r w:rsidRPr="003B5A03">
        <w:rPr>
          <w:rFonts w:ascii="Trebuchet MS" w:hAnsi="Trebuchet MS"/>
          <w:sz w:val="22"/>
          <w:szCs w:val="20"/>
          <w:shd w:val="clear" w:color="auto" w:fill="FFFFFF"/>
        </w:rPr>
        <w:t>, cu modificările şi completările ulterioare;</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 xml:space="preserve">□ nerespectarea condiţiilor menţionate la </w:t>
      </w:r>
      <w:hyperlink r:id="rId6" w:anchor="p-286863694" w:tgtFrame="_blank" w:history="1">
        <w:r w:rsidRPr="003B5A03">
          <w:rPr>
            <w:rFonts w:ascii="Trebuchet MS" w:hAnsi="Trebuchet MS"/>
            <w:sz w:val="22"/>
            <w:szCs w:val="20"/>
            <w:shd w:val="clear" w:color="auto" w:fill="FFFFFF"/>
          </w:rPr>
          <w:t>art. 22</w:t>
        </w:r>
      </w:hyperlink>
      <w:r w:rsidRPr="003B5A03">
        <w:rPr>
          <w:rFonts w:ascii="Trebuchet MS" w:hAnsi="Trebuchet MS"/>
          <w:sz w:val="22"/>
          <w:szCs w:val="20"/>
          <w:shd w:val="clear" w:color="auto" w:fill="FFFFFF"/>
        </w:rPr>
        <w:t xml:space="preserve"> din Regulamentul (UE) 2019/787;</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 xml:space="preserve">□ înregistrarea denumirii propuse încalcă prevederile </w:t>
      </w:r>
      <w:hyperlink r:id="rId7" w:anchor="p-567460467" w:tgtFrame="_blank" w:history="1">
        <w:r w:rsidRPr="003B5A03">
          <w:rPr>
            <w:rFonts w:ascii="Trebuchet MS" w:hAnsi="Trebuchet MS"/>
            <w:sz w:val="22"/>
            <w:szCs w:val="20"/>
            <w:shd w:val="clear" w:color="auto" w:fill="FFFFFF"/>
          </w:rPr>
          <w:t>art. 24</w:t>
        </w:r>
      </w:hyperlink>
      <w:r w:rsidRPr="003B5A03">
        <w:rPr>
          <w:rFonts w:ascii="Trebuchet MS" w:hAnsi="Trebuchet MS"/>
          <w:sz w:val="22"/>
          <w:szCs w:val="20"/>
          <w:shd w:val="clear" w:color="auto" w:fill="FFFFFF"/>
        </w:rPr>
        <w:t xml:space="preserve"> din Regulamentul (UE) 2024/1.143 al Parlamentului European şi al Consiliului din 11 aprilie 2024 privind indicaţiile geografice pentru vin, băuturi spirtoase şi produse agricole, precum şi privind specialităţile tradiţionale garantate şi menţiunile facultative de calitate pentru produsele agricole, de modificare a Regulamentelor (UE) </w:t>
      </w:r>
      <w:hyperlink r:id="rId8" w:tgtFrame="_blank" w:history="1">
        <w:r w:rsidRPr="003B5A03">
          <w:rPr>
            <w:rFonts w:ascii="Trebuchet MS" w:hAnsi="Trebuchet MS"/>
            <w:sz w:val="22"/>
            <w:szCs w:val="20"/>
            <w:shd w:val="clear" w:color="auto" w:fill="FFFFFF"/>
          </w:rPr>
          <w:t>nr. 1.308/2013</w:t>
        </w:r>
      </w:hyperlink>
      <w:r w:rsidRPr="003B5A03">
        <w:rPr>
          <w:rFonts w:ascii="Trebuchet MS" w:hAnsi="Trebuchet MS"/>
          <w:sz w:val="22"/>
          <w:szCs w:val="20"/>
          <w:shd w:val="clear" w:color="auto" w:fill="FFFFFF"/>
        </w:rPr>
        <w:t xml:space="preserve">, (UE) </w:t>
      </w:r>
      <w:hyperlink r:id="rId9" w:tgtFrame="_blank" w:history="1">
        <w:r w:rsidRPr="003B5A03">
          <w:rPr>
            <w:rFonts w:ascii="Trebuchet MS" w:hAnsi="Trebuchet MS"/>
            <w:sz w:val="22"/>
            <w:szCs w:val="20"/>
            <w:shd w:val="clear" w:color="auto" w:fill="FFFFFF"/>
          </w:rPr>
          <w:t>2019/787</w:t>
        </w:r>
      </w:hyperlink>
      <w:r w:rsidRPr="003B5A03">
        <w:rPr>
          <w:rFonts w:ascii="Trebuchet MS" w:hAnsi="Trebuchet MS"/>
          <w:sz w:val="22"/>
          <w:szCs w:val="20"/>
          <w:shd w:val="clear" w:color="auto" w:fill="FFFFFF"/>
        </w:rPr>
        <w:t xml:space="preserve"> şi (UE) </w:t>
      </w:r>
      <w:hyperlink r:id="rId10" w:tgtFrame="_blank" w:history="1">
        <w:r w:rsidRPr="003B5A03">
          <w:rPr>
            <w:rFonts w:ascii="Trebuchet MS" w:hAnsi="Trebuchet MS"/>
            <w:sz w:val="22"/>
            <w:szCs w:val="20"/>
            <w:shd w:val="clear" w:color="auto" w:fill="FFFFFF"/>
          </w:rPr>
          <w:t>2019/1.753</w:t>
        </w:r>
      </w:hyperlink>
      <w:r w:rsidRPr="003B5A03">
        <w:rPr>
          <w:rFonts w:ascii="Trebuchet MS" w:hAnsi="Trebuchet MS"/>
          <w:sz w:val="22"/>
          <w:szCs w:val="20"/>
          <w:shd w:val="clear" w:color="auto" w:fill="FFFFFF"/>
        </w:rPr>
        <w:t xml:space="preserve"> şi de abrogare a Regulamentului (UE) </w:t>
      </w:r>
      <w:hyperlink r:id="rId11" w:tgtFrame="_blank" w:history="1">
        <w:r w:rsidRPr="003B5A03">
          <w:rPr>
            <w:rFonts w:ascii="Trebuchet MS" w:hAnsi="Trebuchet MS"/>
            <w:sz w:val="22"/>
            <w:szCs w:val="20"/>
            <w:shd w:val="clear" w:color="auto" w:fill="FFFFFF"/>
          </w:rPr>
          <w:t>nr. 1.151/2012;</w:t>
        </w:r>
      </w:hyperlink>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 xml:space="preserve">□ înregistrarea denumirii propuse încalcă prevederile </w:t>
      </w:r>
      <w:hyperlink r:id="rId12" w:anchor="p-567460488" w:tgtFrame="_blank" w:history="1">
        <w:r w:rsidRPr="003B5A03">
          <w:rPr>
            <w:rFonts w:ascii="Trebuchet MS" w:hAnsi="Trebuchet MS"/>
            <w:sz w:val="22"/>
            <w:szCs w:val="20"/>
            <w:shd w:val="clear" w:color="auto" w:fill="FFFFFF"/>
          </w:rPr>
          <w:t>art. 25</w:t>
        </w:r>
      </w:hyperlink>
      <w:r w:rsidRPr="003B5A03">
        <w:rPr>
          <w:rFonts w:ascii="Trebuchet MS" w:hAnsi="Trebuchet MS"/>
          <w:sz w:val="22"/>
          <w:szCs w:val="20"/>
          <w:shd w:val="clear" w:color="auto" w:fill="FFFFFF"/>
        </w:rPr>
        <w:t xml:space="preserve"> din Regulamentul (UE) 2024/1.143;</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 xml:space="preserve">□ înregistrarea denumirii propuse încalcă prevederile art. 28 </w:t>
      </w:r>
      <w:hyperlink r:id="rId13" w:anchor="p-567460527" w:tgtFrame="_blank" w:history="1">
        <w:r w:rsidRPr="003B5A03">
          <w:rPr>
            <w:rFonts w:ascii="Trebuchet MS" w:hAnsi="Trebuchet MS"/>
            <w:sz w:val="22"/>
            <w:szCs w:val="20"/>
            <w:shd w:val="clear" w:color="auto" w:fill="FFFFFF"/>
          </w:rPr>
          <w:t>alin. (1)</w:t>
        </w:r>
      </w:hyperlink>
      <w:r w:rsidRPr="003B5A03">
        <w:rPr>
          <w:rFonts w:ascii="Trebuchet MS" w:hAnsi="Trebuchet MS"/>
          <w:sz w:val="22"/>
          <w:szCs w:val="20"/>
          <w:shd w:val="clear" w:color="auto" w:fill="FFFFFF"/>
        </w:rPr>
        <w:t xml:space="preserve"> din Regulamentul (UE) 2024/1.143;</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 xml:space="preserve">□ înregistrarea denumirii propuse încalcă prevederile </w:t>
      </w:r>
      <w:hyperlink r:id="rId14" w:anchor="p-567460531" w:tgtFrame="_blank" w:history="1">
        <w:r w:rsidRPr="003B5A03">
          <w:rPr>
            <w:rFonts w:ascii="Trebuchet MS" w:hAnsi="Trebuchet MS"/>
            <w:sz w:val="22"/>
            <w:szCs w:val="20"/>
            <w:shd w:val="clear" w:color="auto" w:fill="FFFFFF"/>
          </w:rPr>
          <w:t>art. 29</w:t>
        </w:r>
      </w:hyperlink>
      <w:r w:rsidRPr="003B5A03">
        <w:rPr>
          <w:rFonts w:ascii="Trebuchet MS" w:hAnsi="Trebuchet MS"/>
          <w:sz w:val="22"/>
          <w:szCs w:val="20"/>
          <w:shd w:val="clear" w:color="auto" w:fill="FFFFFF"/>
        </w:rPr>
        <w:t xml:space="preserve"> din Regulamentul (UE) 2024/1.143;</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 xml:space="preserve">□ înregistrarea denumirii propuse încalcă prevederile </w:t>
      </w:r>
      <w:hyperlink r:id="rId15" w:anchor="p-567460540" w:tgtFrame="_blank" w:history="1">
        <w:r w:rsidRPr="003B5A03">
          <w:rPr>
            <w:rFonts w:ascii="Trebuchet MS" w:hAnsi="Trebuchet MS"/>
            <w:sz w:val="22"/>
            <w:szCs w:val="20"/>
            <w:shd w:val="clear" w:color="auto" w:fill="FFFFFF"/>
          </w:rPr>
          <w:t>art. 30</w:t>
        </w:r>
      </w:hyperlink>
      <w:r w:rsidRPr="003B5A03">
        <w:rPr>
          <w:rFonts w:ascii="Trebuchet MS" w:hAnsi="Trebuchet MS"/>
          <w:sz w:val="22"/>
          <w:szCs w:val="20"/>
          <w:shd w:val="clear" w:color="auto" w:fill="FFFFFF"/>
        </w:rPr>
        <w:t xml:space="preserve"> din Regulamentul (UE) 2024/1.143;</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 xml:space="preserve">□ înregistrarea denumirii propuse încalcă prevederile art. 31 </w:t>
      </w:r>
      <w:hyperlink r:id="rId16" w:anchor="p-567460543" w:tgtFrame="_blank" w:history="1">
        <w:r w:rsidRPr="003B5A03">
          <w:rPr>
            <w:rFonts w:ascii="Trebuchet MS" w:hAnsi="Trebuchet MS"/>
            <w:sz w:val="22"/>
            <w:szCs w:val="20"/>
            <w:shd w:val="clear" w:color="auto" w:fill="FFFFFF"/>
          </w:rPr>
          <w:t>alin. (1)</w:t>
        </w:r>
      </w:hyperlink>
      <w:r w:rsidRPr="003B5A03">
        <w:rPr>
          <w:rFonts w:ascii="Trebuchet MS" w:hAnsi="Trebuchet MS"/>
          <w:sz w:val="22"/>
          <w:szCs w:val="20"/>
          <w:shd w:val="clear" w:color="auto" w:fill="FFFFFF"/>
        </w:rPr>
        <w:t xml:space="preserve"> - </w:t>
      </w:r>
      <w:hyperlink r:id="rId17" w:anchor="p-567460545" w:tgtFrame="_blank" w:history="1">
        <w:r w:rsidRPr="003B5A03">
          <w:rPr>
            <w:rFonts w:ascii="Trebuchet MS" w:hAnsi="Trebuchet MS"/>
            <w:sz w:val="22"/>
            <w:szCs w:val="20"/>
            <w:shd w:val="clear" w:color="auto" w:fill="FFFFFF"/>
          </w:rPr>
          <w:t>(3)</w:t>
        </w:r>
      </w:hyperlink>
      <w:r w:rsidRPr="003B5A03">
        <w:rPr>
          <w:rFonts w:ascii="Trebuchet MS" w:hAnsi="Trebuchet MS"/>
          <w:sz w:val="22"/>
          <w:szCs w:val="20"/>
          <w:shd w:val="clear" w:color="auto" w:fill="FFFFFF"/>
        </w:rPr>
        <w:t xml:space="preserve"> din Regulamentul (UE) 2024/1.143.</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5. Detalii privind opoziţia</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(Declaraţia trebuie să fie însoţită de motivaţii şi justificări pentru opoziţie.)</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[Furnizaţi o declaraţie (semnată şi datată) în care să justificaţi interesul legitim al opoziţiei.]</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6. Lista documentelor justificative</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 . . . . . . . . .</w:t>
      </w:r>
    </w:p>
    <w:p w:rsidR="00AC703B" w:rsidRPr="003B5A03" w:rsidRDefault="00AC703B" w:rsidP="003B5A03">
      <w:pPr>
        <w:pStyle w:val="spar"/>
        <w:spacing w:before="120"/>
        <w:jc w:val="both"/>
        <w:rPr>
          <w:rFonts w:ascii="Trebuchet MS" w:hAnsi="Trebuchet MS"/>
          <w:sz w:val="22"/>
          <w:szCs w:val="20"/>
          <w:shd w:val="clear" w:color="auto" w:fill="FFFFFF"/>
        </w:rPr>
      </w:pPr>
      <w:r w:rsidRPr="003B5A03">
        <w:rPr>
          <w:rFonts w:ascii="Trebuchet MS" w:hAnsi="Trebuchet MS"/>
          <w:sz w:val="22"/>
          <w:szCs w:val="20"/>
          <w:shd w:val="clear" w:color="auto" w:fill="FFFFFF"/>
        </w:rPr>
        <w:t>(Furnizaţi lista documentelor transmise în sprijinul opoziţiei.)</w:t>
      </w:r>
    </w:p>
    <w:p w:rsidR="005C153F" w:rsidRDefault="00AC703B" w:rsidP="003B5A03">
      <w:pPr>
        <w:pStyle w:val="spar"/>
        <w:spacing w:before="120"/>
        <w:jc w:val="both"/>
      </w:pPr>
      <w:r w:rsidRPr="003B5A03">
        <w:rPr>
          <w:rFonts w:ascii="Trebuchet MS" w:hAnsi="Trebuchet MS"/>
          <w:sz w:val="22"/>
          <w:szCs w:val="20"/>
          <w:shd w:val="clear" w:color="auto" w:fill="FFFFFF"/>
        </w:rPr>
        <w:t>7. Data şi semnătura</w:t>
      </w:r>
      <w:bookmarkStart w:id="0" w:name="_GoBack"/>
      <w:bookmarkEnd w:id="0"/>
    </w:p>
    <w:sectPr w:rsidR="005C153F" w:rsidSect="003B5A0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03B"/>
    <w:rsid w:val="003B5A03"/>
    <w:rsid w:val="005C153F"/>
    <w:rsid w:val="00AC70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4572C"/>
  <w15:chartTrackingRefBased/>
  <w15:docId w15:val="{B74AD33F-56C7-4D2F-8696-BAE76EE2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AC703B"/>
    <w:pPr>
      <w:spacing w:before="100" w:beforeAutospacing="1" w:after="100" w:afterAutospacing="1" w:line="240" w:lineRule="auto"/>
      <w:outlineLvl w:val="3"/>
    </w:pPr>
    <w:rPr>
      <w:rFonts w:ascii="Times New Roman" w:eastAsia="Times New Roman" w:hAnsi="Times New Roman" w:cs="Times New Roman"/>
      <w:b/>
      <w:bCs/>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C703B"/>
    <w:rPr>
      <w:rFonts w:ascii="Times New Roman" w:eastAsia="Times New Roman" w:hAnsi="Times New Roman" w:cs="Times New Roman"/>
      <w:b/>
      <w:bCs/>
      <w:sz w:val="24"/>
      <w:szCs w:val="24"/>
      <w:lang w:val="ro-RO" w:eastAsia="ro-RO"/>
    </w:rPr>
  </w:style>
  <w:style w:type="paragraph" w:customStyle="1" w:styleId="al">
    <w:name w:val="a_l"/>
    <w:basedOn w:val="Normal"/>
    <w:rsid w:val="00AC703B"/>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Hyperlink">
    <w:name w:val="Hyperlink"/>
    <w:basedOn w:val="DefaultParagraphFont"/>
    <w:uiPriority w:val="99"/>
    <w:semiHidden/>
    <w:unhideWhenUsed/>
    <w:rsid w:val="00AC703B"/>
    <w:rPr>
      <w:color w:val="0000FF"/>
      <w:u w:val="single"/>
    </w:rPr>
  </w:style>
  <w:style w:type="paragraph" w:customStyle="1" w:styleId="spar">
    <w:name w:val="s_par"/>
    <w:basedOn w:val="Normal"/>
    <w:rsid w:val="003B5A03"/>
    <w:pPr>
      <w:spacing w:after="0" w:line="240" w:lineRule="auto"/>
      <w:ind w:left="225"/>
    </w:pPr>
    <w:rPr>
      <w:rFonts w:ascii="Times New Roman" w:eastAsiaTheme="minorEastAsia"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66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m4tamrxga/regulamentul-nr-1308-2013-de-instituire-a-unei-organizari-comune-a-pietelor-produselor-agricole-si-de-abrogare-a-regulamentelor-cee-nr-922-72-cee-nr-234-79-ce-nr-1037-2001-si-ce-nr-1234-2007-ale-consi?d=2026-07-16" TargetMode="External"/><Relationship Id="rId13" Type="http://schemas.openxmlformats.org/officeDocument/2006/relationships/hyperlink" Target="https://lege5.ro/App/Document/ge2taojwgq2ta/regulamentul-nr-1143-2024-privind-indicatiile-geografice-pentru-vin-bauturi-spirtoase-si-produse-agricole-precum-si-privind-specialitatile-traditionale-garantate-si-mentiunile-facultative-de-calitate-?pid=567460527&amp;d=2026-07-1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ege5.ro/App/Document/ge2taojwgq2ta/regulamentul-nr-1143-2024-privind-indicatiile-geografice-pentru-vin-bauturi-spirtoase-si-produse-agricole-precum-si-privind-specialitatile-traditionale-garantate-si-mentiunile-facultative-de-calitate-?pid=567460467&amp;d=2026-07-16" TargetMode="External"/><Relationship Id="rId12" Type="http://schemas.openxmlformats.org/officeDocument/2006/relationships/hyperlink" Target="https://lege5.ro/App/Document/ge2taojwgq2ta/regulamentul-nr-1143-2024-privind-indicatiile-geografice-pentru-vin-bauturi-spirtoase-si-produse-agricole-precum-si-privind-specialitatile-traditionale-garantate-si-mentiunile-facultative-de-calitate-?pid=567460488&amp;d=2026-07-16" TargetMode="External"/><Relationship Id="rId17" Type="http://schemas.openxmlformats.org/officeDocument/2006/relationships/hyperlink" Target="https://lege5.ro/App/Document/ge2taojwgq2ta/regulamentul-nr-1143-2024-privind-indicatiile-geografice-pentru-vin-bauturi-spirtoase-si-produse-agricole-precum-si-privind-specialitatile-traditionale-garantate-si-mentiunile-facultative-de-calitate-?pid=567460545&amp;d=2026-07-16" TargetMode="External"/><Relationship Id="rId2" Type="http://schemas.openxmlformats.org/officeDocument/2006/relationships/settings" Target="settings.xml"/><Relationship Id="rId16" Type="http://schemas.openxmlformats.org/officeDocument/2006/relationships/hyperlink" Target="https://lege5.ro/App/Document/ge2taojwgq2ta/regulamentul-nr-1143-2024-privind-indicatiile-geografice-pentru-vin-bauturi-spirtoase-si-produse-agricole-precum-si-privind-specialitatile-traditionale-garantate-si-mentiunile-facultative-de-calitate-?pid=567460543&amp;d=2026-07-16" TargetMode="External"/><Relationship Id="rId1" Type="http://schemas.openxmlformats.org/officeDocument/2006/relationships/styles" Target="styles.xml"/><Relationship Id="rId6" Type="http://schemas.openxmlformats.org/officeDocument/2006/relationships/hyperlink" Target="https://lege5.ro/App/Document/gmztenrxgizq/regulamentul-nr-787-2019-privind-definirea-descrierea-prezentarea-si-etichetarea-bauturilor-spirtoase-utilizarea-denumirilor-bauturilor-spirtoase-in-prezentarea-si-etichetarea-altor-produse-alimentare?pid=286863694&amp;d=2026-07-16" TargetMode="External"/><Relationship Id="rId11" Type="http://schemas.openxmlformats.org/officeDocument/2006/relationships/hyperlink" Target="https://lege5.ro/App/Document/gmztmojqgu/regulamentul-privind-sistemele-din-domeniul-calitatii-produselor-agricole-si-alimentare?d=2026-07-16" TargetMode="External"/><Relationship Id="rId5" Type="http://schemas.openxmlformats.org/officeDocument/2006/relationships/hyperlink" Target="https://lege5.ro/App/Document/gi3tomztg4/regulamentul-nr-110-2008-dispozitii-uniforme-privind-omologarea-i-componentelor-specifice-pentru-autovehiculele-care-utilizeaza-gaz-natural-comprimat-gnc-in-sistemul-de-propulsie-ii-vehiculelor-in-cee?d=2026-07-16" TargetMode="External"/><Relationship Id="rId15" Type="http://schemas.openxmlformats.org/officeDocument/2006/relationships/hyperlink" Target="https://lege5.ro/App/Document/ge2taojwgq2ta/regulamentul-nr-1143-2024-privind-indicatiile-geografice-pentru-vin-bauturi-spirtoase-si-produse-agricole-precum-si-privind-specialitatile-traditionale-garantate-si-mentiunile-facultative-de-calitate-?pid=567460540&amp;d=2026-07-16" TargetMode="External"/><Relationship Id="rId10" Type="http://schemas.openxmlformats.org/officeDocument/2006/relationships/hyperlink" Target="https://lege5.ro/App/Document/gm2dsnrrgy3q/regulamentul-nr-1753-2019-privind-actiunile-uniunii-in-urma-aderarii-acesteia-la-actul-de-la-geneva-al-acordului-de-la-lisabona-privind-denumirile-de-origine-si-indicatiile-geografice?d=2026-07-16" TargetMode="External"/><Relationship Id="rId19" Type="http://schemas.openxmlformats.org/officeDocument/2006/relationships/theme" Target="theme/theme1.xml"/><Relationship Id="rId4" Type="http://schemas.openxmlformats.org/officeDocument/2006/relationships/hyperlink" Target="https://lege5.ro/App/Document/gmztenrxgizq/regulamentul-nr-787-2019-privind-definirea-descrierea-prezentarea-si-etichetarea-bauturilor-spirtoase-utilizarea-denumirilor-bauturilor-spirtoase-in-prezentarea-si-etichetarea-altor-produse-alimentare?pid=286863492&amp;d=2026-07-16" TargetMode="External"/><Relationship Id="rId9" Type="http://schemas.openxmlformats.org/officeDocument/2006/relationships/hyperlink" Target="https://lege5.ro/App/Document/gmztenrxgizq/regulamentul-nr-787-2019-privind-definirea-descrierea-prezentarea-si-etichetarea-bauturilor-spirtoase-utilizarea-denumirilor-bauturilor-spirtoase-in-prezentarea-si-etichetarea-altor-produse-alimentare?d=2026-07-16" TargetMode="External"/><Relationship Id="rId14" Type="http://schemas.openxmlformats.org/officeDocument/2006/relationships/hyperlink" Target="https://lege5.ro/App/Document/ge2taojwgq2ta/regulamentul-nr-1143-2024-privind-indicatiile-geografice-pentru-vin-bauturi-spirtoase-si-produse-agricole-precum-si-privind-specialitatile-traditionale-garantate-si-mentiunile-facultative-de-calitate-?pid=567460531&amp;d=2026-07-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1021</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Madalin</dc:creator>
  <cp:keywords/>
  <dc:description/>
  <cp:lastModifiedBy>Madalin</cp:lastModifiedBy>
  <cp:revision>2</cp:revision>
  <dcterms:created xsi:type="dcterms:W3CDTF">2026-07-16T06:28:00Z</dcterms:created>
  <dcterms:modified xsi:type="dcterms:W3CDTF">2026-07-16T07:09:00Z</dcterms:modified>
</cp:coreProperties>
</file>