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FAA4" w14:textId="77777777" w:rsidR="000F35EA" w:rsidRPr="000F35EA" w:rsidRDefault="000F35EA" w:rsidP="000F35EA">
      <w:pPr>
        <w:autoSpaceDE w:val="0"/>
        <w:autoSpaceDN w:val="0"/>
        <w:adjustRightInd w:val="0"/>
        <w:spacing w:after="0" w:line="240" w:lineRule="auto"/>
        <w:jc w:val="right"/>
        <w:rPr>
          <w:rFonts w:ascii="Courier New" w:eastAsia="Calibri" w:hAnsi="Courier New" w:cs="Courier New"/>
          <w:sz w:val="18"/>
          <w:szCs w:val="18"/>
          <w:lang w:val="en-US"/>
        </w:rPr>
      </w:pPr>
      <w:r w:rsidRPr="000F35EA">
        <w:rPr>
          <w:rFonts w:ascii="Courier New" w:eastAsia="Calibri" w:hAnsi="Courier New" w:cs="Courier New"/>
          <w:color w:val="0000FF"/>
          <w:lang w:val="en-US"/>
        </w:rPr>
        <w:t xml:space="preserve">    </w:t>
      </w:r>
      <w:r w:rsidRPr="000F35EA">
        <w:rPr>
          <w:rFonts w:ascii="Courier New" w:eastAsia="Calibri" w:hAnsi="Courier New" w:cs="Courier New"/>
          <w:color w:val="0000FF"/>
          <w:sz w:val="18"/>
          <w:szCs w:val="18"/>
          <w:lang w:val="en-US"/>
        </w:rPr>
        <w:t>ANEXA 12</w:t>
      </w:r>
    </w:p>
    <w:p w14:paraId="3E0D135C" w14:textId="77777777" w:rsidR="000F35EA" w:rsidRPr="000F35EA" w:rsidRDefault="000F35EA" w:rsidP="000F35EA">
      <w:pPr>
        <w:autoSpaceDE w:val="0"/>
        <w:autoSpaceDN w:val="0"/>
        <w:adjustRightInd w:val="0"/>
        <w:spacing w:after="0" w:line="240" w:lineRule="auto"/>
        <w:jc w:val="right"/>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la norma sanitară veterinară</w:t>
      </w:r>
    </w:p>
    <w:p w14:paraId="16AC8997"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AUTORITATEA NAŢIONALĂ SANITARĂ VETERINARĂ </w:t>
      </w:r>
    </w:p>
    <w:p w14:paraId="74271F2C"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ŞI PENTRU SIGURANŢA ALIMENTELOR</w:t>
      </w:r>
    </w:p>
    <w:p w14:paraId="1BE3D977"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Direcţia Sanitar-Veterinară şi pentru Siguranţa Alimentelor</w:t>
      </w:r>
    </w:p>
    <w:p w14:paraId="0F1A7516"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w:t>
      </w:r>
    </w:p>
    <w:p w14:paraId="050A9214"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sz w:val="18"/>
          <w:szCs w:val="18"/>
          <w:lang w:val="en-US"/>
        </w:rPr>
      </w:pPr>
    </w:p>
    <w:p w14:paraId="0192CEE1"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AUTORIZAŢIE SANITAR-VETERINARĂ</w:t>
      </w:r>
    </w:p>
    <w:p w14:paraId="78173765"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pentru schimburi intracomunitare cu produse alimentare de origine animală</w:t>
      </w:r>
    </w:p>
    <w:p w14:paraId="2DB51D99"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Nr. ............ din .............</w:t>
      </w:r>
    </w:p>
    <w:p w14:paraId="183D37FF"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p>
    <w:p w14:paraId="7F99FB10"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Directorul executiv al Direcţiei Sanitar-Veterinare şi pentru Siguranţa Alimentelor ............, având în vedere cererea şi documentaţia înregistrate la nr. .......... din ......... ale ........., din ....... (adresa completă).........., în baza Fişei de evaluare şi a Notei de constatare cu nr. .............., întocmite de dr. .............., în calitate de ............ în cadrul structurii de specialitate din domeniul siguranţei alimentelor de origine animală din cadrul direcţiei sanitar-veterinare şi pentru siguranţa alimentelor, în temeiul prevederilor </w:t>
      </w:r>
      <w:r w:rsidRPr="000F35EA">
        <w:rPr>
          <w:rFonts w:ascii="Courier New" w:eastAsia="Calibri" w:hAnsi="Courier New" w:cs="Courier New"/>
          <w:vanish/>
          <w:color w:val="0000FF"/>
          <w:sz w:val="18"/>
          <w:szCs w:val="18"/>
          <w:lang w:val="en-US"/>
        </w:rPr>
        <w:t>&lt;LLNK 12004    42132 3C1   0 33&gt;</w:t>
      </w:r>
      <w:r w:rsidRPr="000F35EA">
        <w:rPr>
          <w:rFonts w:ascii="Courier New" w:eastAsia="Calibri" w:hAnsi="Courier New" w:cs="Courier New"/>
          <w:color w:val="0000FF"/>
          <w:sz w:val="18"/>
          <w:szCs w:val="18"/>
          <w:u w:val="single"/>
          <w:lang w:val="en-US"/>
        </w:rPr>
        <w:t>Ordonanţei Guvernului nr. 42/2004</w:t>
      </w:r>
      <w:r w:rsidRPr="000F35EA">
        <w:rPr>
          <w:rFonts w:ascii="Courier New" w:eastAsia="Calibri" w:hAnsi="Courier New" w:cs="Courier New"/>
          <w:color w:val="0000FF"/>
          <w:sz w:val="18"/>
          <w:szCs w:val="18"/>
          <w:lang w:val="en-US"/>
        </w:rPr>
        <w:t xml:space="preserve"> privind organizarea activităţii sanitar-veterinare şi pentru siguranţa alimentelor, aprobată cu modificări şi completări prin </w:t>
      </w:r>
      <w:r w:rsidRPr="000F35EA">
        <w:rPr>
          <w:rFonts w:ascii="Courier New" w:eastAsia="Calibri" w:hAnsi="Courier New" w:cs="Courier New"/>
          <w:vanish/>
          <w:color w:val="0000FF"/>
          <w:sz w:val="18"/>
          <w:szCs w:val="18"/>
          <w:lang w:val="en-US"/>
        </w:rPr>
        <w:t>&lt;LLNK 12004   215 12 2&lt;1   0 18&gt;</w:t>
      </w:r>
      <w:r w:rsidRPr="000F35EA">
        <w:rPr>
          <w:rFonts w:ascii="Courier New" w:eastAsia="Calibri" w:hAnsi="Courier New" w:cs="Courier New"/>
          <w:color w:val="0000FF"/>
          <w:sz w:val="18"/>
          <w:szCs w:val="18"/>
          <w:u w:val="single"/>
          <w:lang w:val="en-US"/>
        </w:rPr>
        <w:t>Legea nr. 215/2004</w:t>
      </w:r>
      <w:r w:rsidRPr="000F35EA">
        <w:rPr>
          <w:rFonts w:ascii="Courier New" w:eastAsia="Calibri" w:hAnsi="Courier New" w:cs="Courier New"/>
          <w:color w:val="0000FF"/>
          <w:sz w:val="18"/>
          <w:szCs w:val="18"/>
          <w:lang w:val="en-US"/>
        </w:rPr>
        <w:t>, cu modificările şi completările ulterioare, precum şi al prevederilor</w:t>
      </w:r>
      <w:r w:rsidRPr="000F35EA">
        <w:rPr>
          <w:rFonts w:ascii="Courier New" w:eastAsia="Calibri" w:hAnsi="Courier New" w:cs="Courier New"/>
          <w:vanish/>
          <w:color w:val="0000FF"/>
          <w:sz w:val="18"/>
          <w:szCs w:val="18"/>
          <w:lang w:val="en-US"/>
        </w:rPr>
        <w:t>&lt;LLNK 832004R0882C(03)      33&gt;</w:t>
      </w:r>
      <w:r w:rsidRPr="000F35EA">
        <w:rPr>
          <w:rFonts w:ascii="Courier New" w:eastAsia="Calibri" w:hAnsi="Courier New" w:cs="Courier New"/>
          <w:color w:val="0000FF"/>
          <w:sz w:val="18"/>
          <w:szCs w:val="18"/>
          <w:u w:val="single"/>
          <w:lang w:val="en-US"/>
        </w:rPr>
        <w:t xml:space="preserve"> Regulamentului (CE) nr. 882/2004</w:t>
      </w:r>
      <w:r w:rsidRPr="000F35EA">
        <w:rPr>
          <w:rFonts w:ascii="Courier New" w:eastAsia="Calibri" w:hAnsi="Courier New" w:cs="Courier New"/>
          <w:color w:val="0000FF"/>
          <w:sz w:val="18"/>
          <w:szCs w:val="18"/>
          <w:lang w:val="en-US"/>
        </w:rPr>
        <w:t xml:space="preserve"> al Parlamentului European şi al Consiliului din 29 aprilie 2004 privind controalele oficiale efectuate pentru a asigura verificarea conformităţii cu legislaţia privind hrana pentru animale şi produsele alimentare şi cu normele de sănătate animală şi de bunăstare a animalelor, cu amendamentele ulterioare,</w:t>
      </w:r>
    </w:p>
    <w:p w14:paraId="51419550"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p>
    <w:p w14:paraId="5C0A0BAE"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DISPUNE:</w:t>
      </w:r>
    </w:p>
    <w:p w14:paraId="086F0874"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autorizarea sanitar-veterinară pentru schimburi intracomunitare cu produse alimentare de origine animală, cu nr. de autorizare ........... pentru unitatea: ............, din localitatea ........, str. ...... nr. ....., sectorul ....., codul ......, judeţul ........, pentru următoarele activităţi:</w:t>
      </w:r>
    </w:p>
    <w:p w14:paraId="26A3EF62"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p>
    <w:p w14:paraId="7A2340A4"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620"/>
        <w:gridCol w:w="325"/>
        <w:gridCol w:w="1486"/>
        <w:gridCol w:w="1680"/>
        <w:gridCol w:w="1809"/>
      </w:tblGrid>
      <w:tr w:rsidR="000F35EA" w:rsidRPr="000F35EA" w14:paraId="66390032" w14:textId="77777777" w:rsidTr="007A51F2">
        <w:tc>
          <w:tcPr>
            <w:tcW w:w="1101" w:type="dxa"/>
            <w:shd w:val="clear" w:color="auto" w:fill="auto"/>
          </w:tcPr>
          <w:p w14:paraId="3573BCB4"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p w14:paraId="341B193D"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Obiectiv</w:t>
            </w:r>
          </w:p>
        </w:tc>
        <w:tc>
          <w:tcPr>
            <w:tcW w:w="2955" w:type="dxa"/>
            <w:shd w:val="clear" w:color="auto" w:fill="auto"/>
          </w:tcPr>
          <w:p w14:paraId="0EA3F674"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 xml:space="preserve">Capacitate totală de </w:t>
            </w:r>
          </w:p>
          <w:p w14:paraId="433289F2"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producţie autorizată</w:t>
            </w:r>
          </w:p>
          <w:p w14:paraId="04E2DF89"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 xml:space="preserve"> (tone/săptămână </w:t>
            </w:r>
          </w:p>
          <w:p w14:paraId="0EA63D59"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 xml:space="preserve">produse finite) </w:t>
            </w:r>
          </w:p>
          <w:p w14:paraId="1A8C4A1D"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/Capacitate totală de depozitare (tone)   *)</w:t>
            </w:r>
          </w:p>
        </w:tc>
        <w:tc>
          <w:tcPr>
            <w:tcW w:w="2028" w:type="dxa"/>
            <w:gridSpan w:val="2"/>
            <w:shd w:val="clear" w:color="auto" w:fill="auto"/>
          </w:tcPr>
          <w:p w14:paraId="1303F8A7"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p>
          <w:p w14:paraId="1A66E866"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Activitate</w:t>
            </w:r>
          </w:p>
        </w:tc>
        <w:tc>
          <w:tcPr>
            <w:tcW w:w="2028" w:type="dxa"/>
            <w:shd w:val="clear" w:color="auto" w:fill="auto"/>
          </w:tcPr>
          <w:p w14:paraId="78EE60B3"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p>
          <w:p w14:paraId="6C00B673"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Specie</w:t>
            </w:r>
          </w:p>
        </w:tc>
        <w:tc>
          <w:tcPr>
            <w:tcW w:w="2028" w:type="dxa"/>
            <w:shd w:val="clear" w:color="auto" w:fill="auto"/>
          </w:tcPr>
          <w:p w14:paraId="72644AB1"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p>
          <w:p w14:paraId="0C925E51" w14:textId="77777777" w:rsidR="000F35EA" w:rsidRPr="000F35EA" w:rsidRDefault="000F35EA" w:rsidP="000F35EA">
            <w:pPr>
              <w:spacing w:after="0" w:line="240" w:lineRule="auto"/>
              <w:jc w:val="center"/>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Observaţii</w:t>
            </w:r>
          </w:p>
        </w:tc>
      </w:tr>
      <w:tr w:rsidR="000F35EA" w:rsidRPr="000F35EA" w14:paraId="2BD9EDF9" w14:textId="77777777" w:rsidTr="007A51F2">
        <w:tc>
          <w:tcPr>
            <w:tcW w:w="1101" w:type="dxa"/>
            <w:shd w:val="clear" w:color="auto" w:fill="auto"/>
          </w:tcPr>
          <w:p w14:paraId="33C975E7"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955" w:type="dxa"/>
            <w:shd w:val="clear" w:color="auto" w:fill="auto"/>
          </w:tcPr>
          <w:p w14:paraId="52BCDC6F"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322" w:type="dxa"/>
            <w:shd w:val="clear" w:color="auto" w:fill="auto"/>
          </w:tcPr>
          <w:p w14:paraId="32616D09"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1</w:t>
            </w:r>
          </w:p>
        </w:tc>
        <w:tc>
          <w:tcPr>
            <w:tcW w:w="1706" w:type="dxa"/>
            <w:shd w:val="clear" w:color="auto" w:fill="auto"/>
          </w:tcPr>
          <w:p w14:paraId="5EA0BC86"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576D3ABE"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1473719A"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r>
      <w:tr w:rsidR="000F35EA" w:rsidRPr="000F35EA" w14:paraId="293D450C" w14:textId="77777777" w:rsidTr="007A51F2">
        <w:tc>
          <w:tcPr>
            <w:tcW w:w="1101" w:type="dxa"/>
            <w:shd w:val="clear" w:color="auto" w:fill="auto"/>
          </w:tcPr>
          <w:p w14:paraId="628B38CE"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955" w:type="dxa"/>
            <w:shd w:val="clear" w:color="auto" w:fill="auto"/>
          </w:tcPr>
          <w:p w14:paraId="120F1E64"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322" w:type="dxa"/>
            <w:shd w:val="clear" w:color="auto" w:fill="auto"/>
          </w:tcPr>
          <w:p w14:paraId="690D96DA"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2</w:t>
            </w:r>
          </w:p>
        </w:tc>
        <w:tc>
          <w:tcPr>
            <w:tcW w:w="1706" w:type="dxa"/>
            <w:shd w:val="clear" w:color="auto" w:fill="auto"/>
          </w:tcPr>
          <w:p w14:paraId="49610FB2"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2BA40C16"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4F707B76"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r>
      <w:tr w:rsidR="000F35EA" w:rsidRPr="000F35EA" w14:paraId="288CD691" w14:textId="77777777" w:rsidTr="007A51F2">
        <w:tc>
          <w:tcPr>
            <w:tcW w:w="1101" w:type="dxa"/>
            <w:shd w:val="clear" w:color="auto" w:fill="auto"/>
          </w:tcPr>
          <w:p w14:paraId="2E8E9568"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955" w:type="dxa"/>
            <w:shd w:val="clear" w:color="auto" w:fill="auto"/>
          </w:tcPr>
          <w:p w14:paraId="2F068B87"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322" w:type="dxa"/>
            <w:shd w:val="clear" w:color="auto" w:fill="auto"/>
          </w:tcPr>
          <w:p w14:paraId="29237E3B"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3</w:t>
            </w:r>
          </w:p>
        </w:tc>
        <w:tc>
          <w:tcPr>
            <w:tcW w:w="1706" w:type="dxa"/>
            <w:shd w:val="clear" w:color="auto" w:fill="auto"/>
          </w:tcPr>
          <w:p w14:paraId="51AE5C26"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2911F8EB"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3187246A"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r>
      <w:tr w:rsidR="000F35EA" w:rsidRPr="000F35EA" w14:paraId="655DCC52" w14:textId="77777777" w:rsidTr="007A51F2">
        <w:tc>
          <w:tcPr>
            <w:tcW w:w="1101" w:type="dxa"/>
            <w:shd w:val="clear" w:color="auto" w:fill="auto"/>
          </w:tcPr>
          <w:p w14:paraId="3E104D45"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955" w:type="dxa"/>
            <w:shd w:val="clear" w:color="auto" w:fill="auto"/>
          </w:tcPr>
          <w:p w14:paraId="12712CAE"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322" w:type="dxa"/>
            <w:shd w:val="clear" w:color="auto" w:fill="auto"/>
          </w:tcPr>
          <w:p w14:paraId="1ACBD62C"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r w:rsidRPr="000F35EA">
              <w:rPr>
                <w:rFonts w:ascii="Courier New" w:eastAsia="Times New Roman" w:hAnsi="Courier New" w:cs="Courier New"/>
                <w:color w:val="0000FF"/>
                <w:sz w:val="18"/>
                <w:szCs w:val="18"/>
                <w:lang w:val="ro-RO"/>
              </w:rPr>
              <w:t>4</w:t>
            </w:r>
          </w:p>
        </w:tc>
        <w:tc>
          <w:tcPr>
            <w:tcW w:w="1706" w:type="dxa"/>
            <w:shd w:val="clear" w:color="auto" w:fill="auto"/>
          </w:tcPr>
          <w:p w14:paraId="18E409FD"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7F5FE4A1"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c>
          <w:tcPr>
            <w:tcW w:w="2028" w:type="dxa"/>
            <w:shd w:val="clear" w:color="auto" w:fill="auto"/>
          </w:tcPr>
          <w:p w14:paraId="1CD2FDC2" w14:textId="77777777" w:rsidR="000F35EA" w:rsidRPr="000F35EA" w:rsidRDefault="000F35EA" w:rsidP="000F35EA">
            <w:pPr>
              <w:spacing w:after="0" w:line="240" w:lineRule="auto"/>
              <w:jc w:val="both"/>
              <w:rPr>
                <w:rFonts w:ascii="Courier New" w:eastAsia="Times New Roman" w:hAnsi="Courier New" w:cs="Courier New"/>
                <w:color w:val="0000FF"/>
                <w:sz w:val="18"/>
                <w:szCs w:val="18"/>
                <w:lang w:val="ro-RO"/>
              </w:rPr>
            </w:pPr>
          </w:p>
        </w:tc>
      </w:tr>
    </w:tbl>
    <w:p w14:paraId="5A74659E"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p>
    <w:p w14:paraId="3E6B3398"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*ST*</w:t>
      </w:r>
    </w:p>
    <w:p w14:paraId="31A715DA"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 A se elimina conţinutul neaplicabil.</w:t>
      </w:r>
    </w:p>
    <w:p w14:paraId="71FE188B"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sz w:val="18"/>
          <w:szCs w:val="18"/>
          <w:lang w:val="en-US"/>
        </w:rPr>
      </w:pPr>
    </w:p>
    <w:p w14:paraId="3C009038"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Marca de sănătate/identificare ce va fi aplicată pe produsele de origine animală în unităţile care au fost autorizate condiţionat trebuie să respecte prevederile </w:t>
      </w:r>
      <w:r w:rsidRPr="000F35EA">
        <w:rPr>
          <w:rFonts w:ascii="Courier New" w:eastAsia="Calibri" w:hAnsi="Courier New" w:cs="Courier New"/>
          <w:vanish/>
          <w:color w:val="0000FF"/>
          <w:sz w:val="18"/>
          <w:szCs w:val="18"/>
          <w:lang w:val="en-US"/>
        </w:rPr>
        <w:t>&lt;LLNK 12008    10 52FB11   0109&gt;</w:t>
      </w:r>
      <w:r w:rsidRPr="000F35EA">
        <w:rPr>
          <w:rFonts w:ascii="Courier New" w:eastAsia="Calibri" w:hAnsi="Courier New" w:cs="Courier New"/>
          <w:color w:val="0000FF"/>
          <w:sz w:val="18"/>
          <w:szCs w:val="18"/>
          <w:u w:val="single"/>
          <w:lang w:val="en-US"/>
        </w:rPr>
        <w:t>Ordinului preşedintelui Autorităţii Naţionale Sanitare Veterinare şi pentru Siguranţa Alimentelor nr. 10/2008</w:t>
      </w:r>
      <w:r w:rsidRPr="000F35EA">
        <w:rPr>
          <w:rFonts w:ascii="Courier New" w:eastAsia="Calibri" w:hAnsi="Courier New" w:cs="Courier New"/>
          <w:color w:val="0000FF"/>
          <w:sz w:val="18"/>
          <w:szCs w:val="18"/>
          <w:lang w:val="en-US"/>
        </w:rPr>
        <w:t xml:space="preserve"> privind aprobarea </w:t>
      </w:r>
      <w:r w:rsidRPr="000F35EA">
        <w:rPr>
          <w:rFonts w:ascii="Courier New" w:eastAsia="Calibri" w:hAnsi="Courier New" w:cs="Courier New"/>
          <w:vanish/>
          <w:color w:val="0000FF"/>
          <w:sz w:val="18"/>
          <w:szCs w:val="18"/>
          <w:lang w:val="en-US"/>
        </w:rPr>
        <w:t>&lt;LLNK 12008     0112FBM1   0 26&gt;</w:t>
      </w:r>
      <w:r w:rsidRPr="000F35EA">
        <w:rPr>
          <w:rFonts w:ascii="Courier New" w:eastAsia="Calibri" w:hAnsi="Courier New" w:cs="Courier New"/>
          <w:color w:val="0000FF"/>
          <w:sz w:val="18"/>
          <w:szCs w:val="18"/>
          <w:u w:val="single"/>
          <w:lang w:val="en-US"/>
        </w:rPr>
        <w:t>Normei sanitare veterinare</w:t>
      </w:r>
      <w:r w:rsidRPr="000F35EA">
        <w:rPr>
          <w:rFonts w:ascii="Courier New" w:eastAsia="Calibri" w:hAnsi="Courier New" w:cs="Courier New"/>
          <w:color w:val="0000FF"/>
          <w:sz w:val="18"/>
          <w:szCs w:val="18"/>
          <w:lang w:val="en-US"/>
        </w:rPr>
        <w:t xml:space="preserve"> care stabileşte procedura pentru marcarea şi certificarea sanitară veterinară a cărnii proaspete şi marcarea produselor de origine animală destinate consumului uman, cu modificările şi completările ulterioare.</w:t>
      </w:r>
    </w:p>
    <w:p w14:paraId="7CA99AC4"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 xml:space="preserve">    Nerespectarea condiţiilor care au stat la baza emiterii prezentei autorizaţii sanitare veterinare, schimbarea profilului sau efectuarea altor activităţi decât cele autorizate sanitar-veterinar în conformitate cu prevederile legislaţiei sanitare veterinare în vigoare atrage, după caz, suspendarea ori interzicerea desfăşurării activităţii, precum şi sancţionarea contravenţională sau penală, conform legislaţiei în vigoare.</w:t>
      </w:r>
    </w:p>
    <w:p w14:paraId="11A35D06"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p>
    <w:p w14:paraId="4334608F"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p>
    <w:p w14:paraId="4B691C53"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Director executiv,</w:t>
      </w:r>
    </w:p>
    <w:p w14:paraId="1A7075D8"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w:t>
      </w:r>
    </w:p>
    <w:p w14:paraId="6765A334" w14:textId="77777777" w:rsidR="000F35EA" w:rsidRPr="000F35EA" w:rsidRDefault="000F35EA" w:rsidP="000F35EA">
      <w:pPr>
        <w:autoSpaceDE w:val="0"/>
        <w:autoSpaceDN w:val="0"/>
        <w:adjustRightInd w:val="0"/>
        <w:spacing w:after="0" w:line="240" w:lineRule="auto"/>
        <w:jc w:val="center"/>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t>(semnătura, ştampila)</w:t>
      </w:r>
    </w:p>
    <w:p w14:paraId="4132E386"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p>
    <w:p w14:paraId="584F5928"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color w:val="0000FF"/>
          <w:sz w:val="18"/>
          <w:szCs w:val="18"/>
          <w:lang w:val="en-US"/>
        </w:rPr>
      </w:pPr>
      <w:r w:rsidRPr="000F35EA">
        <w:rPr>
          <w:rFonts w:ascii="Courier New" w:eastAsia="Calibri" w:hAnsi="Courier New" w:cs="Courier New"/>
          <w:color w:val="0000FF"/>
          <w:sz w:val="18"/>
          <w:szCs w:val="18"/>
          <w:lang w:val="en-US"/>
        </w:rPr>
        <w:lastRenderedPageBreak/>
        <w:t xml:space="preserve"> (la 29-09-2019 Anexa nr. 12  a fost modificată de </w:t>
      </w:r>
      <w:r w:rsidRPr="000F35EA">
        <w:rPr>
          <w:rFonts w:ascii="Courier New" w:eastAsia="Calibri" w:hAnsi="Courier New" w:cs="Courier New"/>
          <w:vanish/>
          <w:color w:val="0000FF"/>
          <w:sz w:val="18"/>
          <w:szCs w:val="18"/>
          <w:lang w:val="en-US"/>
        </w:rPr>
        <w:t>&lt;LLNK 12019   107 50FB01   0127&gt;</w:t>
      </w:r>
      <w:r w:rsidRPr="000F35EA">
        <w:rPr>
          <w:rFonts w:ascii="Courier New" w:eastAsia="Calibri" w:hAnsi="Courier New" w:cs="Courier New"/>
          <w:color w:val="0000FF"/>
          <w:sz w:val="18"/>
          <w:szCs w:val="18"/>
          <w:u w:val="single"/>
          <w:lang w:val="en-US"/>
        </w:rPr>
        <w:t>Punctul 40, Articolul I din ORDINUL nr. 107 din 5 septembrie 2019, publicat în MONITORUL OFICIAL nr. 762 din 19 septembrie 2019</w:t>
      </w:r>
      <w:r w:rsidRPr="000F35EA">
        <w:rPr>
          <w:rFonts w:ascii="Courier New" w:eastAsia="Calibri" w:hAnsi="Courier New" w:cs="Courier New"/>
          <w:color w:val="0000FF"/>
          <w:sz w:val="18"/>
          <w:szCs w:val="18"/>
          <w:lang w:val="en-US"/>
        </w:rPr>
        <w:t xml:space="preserve">) </w:t>
      </w:r>
    </w:p>
    <w:p w14:paraId="771C2653"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sz w:val="18"/>
          <w:szCs w:val="18"/>
          <w:lang w:val="en-US"/>
        </w:rPr>
      </w:pPr>
      <w:r w:rsidRPr="000F35EA">
        <w:rPr>
          <w:rFonts w:ascii="Courier New" w:eastAsia="Calibri" w:hAnsi="Courier New" w:cs="Courier New"/>
          <w:sz w:val="18"/>
          <w:szCs w:val="18"/>
          <w:lang w:val="en-US"/>
        </w:rPr>
        <w:t>──────────</w:t>
      </w:r>
    </w:p>
    <w:p w14:paraId="0DF73358"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sz w:val="18"/>
          <w:szCs w:val="18"/>
          <w:lang w:val="en-US"/>
        </w:rPr>
      </w:pPr>
      <w:r w:rsidRPr="000F35EA">
        <w:rPr>
          <w:rFonts w:ascii="Courier New" w:eastAsia="Calibri" w:hAnsi="Courier New" w:cs="Courier New"/>
          <w:sz w:val="18"/>
          <w:szCs w:val="18"/>
          <w:lang w:val="en-US"/>
        </w:rPr>
        <w:t xml:space="preserve">    Potrivit </w:t>
      </w:r>
      <w:r w:rsidRPr="000F35EA">
        <w:rPr>
          <w:rFonts w:ascii="Courier New" w:eastAsia="Calibri" w:hAnsi="Courier New" w:cs="Courier New"/>
          <w:vanish/>
          <w:sz w:val="18"/>
          <w:szCs w:val="18"/>
          <w:lang w:val="en-US"/>
        </w:rPr>
        <w:t>&lt;LLNK 12019   107 50FB01   0 59&gt;</w:t>
      </w:r>
      <w:r w:rsidRPr="000F35EA">
        <w:rPr>
          <w:rFonts w:ascii="Courier New" w:eastAsia="Calibri" w:hAnsi="Courier New" w:cs="Courier New"/>
          <w:color w:val="0000FF"/>
          <w:sz w:val="18"/>
          <w:szCs w:val="18"/>
          <w:u w:val="single"/>
          <w:lang w:val="en-US"/>
        </w:rPr>
        <w:t>pct. 43 al art. I din ORDINUL nr. 107 din 5 septembrie 2019</w:t>
      </w:r>
      <w:r w:rsidRPr="000F35EA">
        <w:rPr>
          <w:rFonts w:ascii="Courier New" w:eastAsia="Calibri" w:hAnsi="Courier New" w:cs="Courier New"/>
          <w:sz w:val="18"/>
          <w:szCs w:val="18"/>
          <w:lang w:val="en-US"/>
        </w:rPr>
        <w:t>, publicat în Monitorul Oficial nr. 762 din 19 septembrie 2019, în întregul cuprins al normei sanitare veterinare, sintagmele „autorizaţie sanitară veterinară“ şi „autorizare sanitară veterinară“ se înlocuiesc cu sintagmele „autorizaţie sanitar-veterinară şi pentru siguranţa alimentelor“ şi „autorizare sanitar-veterinară şi pentru siguranţa alimentelor“.</w:t>
      </w:r>
    </w:p>
    <w:p w14:paraId="5F796DBD"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sz w:val="18"/>
          <w:szCs w:val="18"/>
          <w:lang w:val="en-US"/>
        </w:rPr>
      </w:pPr>
      <w:r w:rsidRPr="000F35EA">
        <w:rPr>
          <w:rFonts w:ascii="Courier New" w:eastAsia="Calibri" w:hAnsi="Courier New" w:cs="Courier New"/>
          <w:sz w:val="18"/>
          <w:szCs w:val="18"/>
          <w:lang w:val="en-US"/>
        </w:rPr>
        <w:t>──────────</w:t>
      </w:r>
    </w:p>
    <w:p w14:paraId="5073E365" w14:textId="77777777" w:rsidR="000F35EA" w:rsidRPr="000F35EA" w:rsidRDefault="000F35EA" w:rsidP="000F35EA">
      <w:pPr>
        <w:autoSpaceDE w:val="0"/>
        <w:autoSpaceDN w:val="0"/>
        <w:adjustRightInd w:val="0"/>
        <w:spacing w:after="0" w:line="240" w:lineRule="auto"/>
        <w:jc w:val="both"/>
        <w:rPr>
          <w:rFonts w:ascii="Courier New" w:eastAsia="Calibri" w:hAnsi="Courier New" w:cs="Courier New"/>
          <w:lang w:val="en-US"/>
        </w:rPr>
      </w:pPr>
    </w:p>
    <w:p w14:paraId="1B6084DB" w14:textId="77777777" w:rsidR="002D5DA2" w:rsidRDefault="002D5DA2">
      <w:bookmarkStart w:id="0" w:name="_GoBack"/>
      <w:bookmarkEnd w:id="0"/>
    </w:p>
    <w:sectPr w:rsidR="002D5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95"/>
    <w:rsid w:val="000F35EA"/>
    <w:rsid w:val="002D5DA2"/>
    <w:rsid w:val="008020DF"/>
    <w:rsid w:val="0098416A"/>
    <w:rsid w:val="00D4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DA190-770E-4BC2-AB76-198CBC7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2019-10-01T08:48:00Z</dcterms:created>
  <dcterms:modified xsi:type="dcterms:W3CDTF">2019-10-01T08:49:00Z</dcterms:modified>
</cp:coreProperties>
</file>