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2017" w:rsidRPr="00782CFD" w:rsidRDefault="00EE2017">
      <w:pPr>
        <w:autoSpaceDE/>
        <w:autoSpaceDN/>
        <w:jc w:val="both"/>
        <w:divId w:val="640766564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</w:p>
    <w:p w:rsidR="00EE2017" w:rsidRDefault="000352A3">
      <w:pPr>
        <w:pStyle w:val="sanxttl"/>
        <w:divId w:val="1874416191"/>
        <w:rPr>
          <w:rFonts w:ascii="Times New Roman" w:hAnsi="Times New Roman"/>
          <w:sz w:val="32"/>
          <w:szCs w:val="32"/>
          <w:shd w:val="clear" w:color="auto" w:fill="FFFFFF"/>
        </w:rPr>
      </w:pPr>
      <w:proofErr w:type="spellStart"/>
      <w:proofErr w:type="gramStart"/>
      <w:r w:rsidRPr="00782CFD">
        <w:rPr>
          <w:rFonts w:ascii="Times New Roman" w:hAnsi="Times New Roman"/>
          <w:sz w:val="32"/>
          <w:szCs w:val="32"/>
          <w:shd w:val="clear" w:color="auto" w:fill="FFFFFF"/>
        </w:rPr>
        <w:t>Anexa</w:t>
      </w:r>
      <w:proofErr w:type="spellEnd"/>
      <w:r w:rsidRPr="00782CFD">
        <w:rPr>
          <w:rFonts w:ascii="Times New Roman" w:hAnsi="Times New Roman"/>
          <w:sz w:val="32"/>
          <w:szCs w:val="32"/>
          <w:shd w:val="clear" w:color="auto" w:fill="FFFFFF"/>
        </w:rPr>
        <w:t xml:space="preserve"> nr.</w:t>
      </w:r>
      <w:proofErr w:type="gramEnd"/>
      <w:r w:rsidRPr="00782CFD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330745">
        <w:rPr>
          <w:rFonts w:ascii="Times New Roman" w:hAnsi="Times New Roman"/>
          <w:sz w:val="32"/>
          <w:szCs w:val="32"/>
          <w:shd w:val="clear" w:color="auto" w:fill="FFFFFF"/>
        </w:rPr>
        <w:t xml:space="preserve">9 </w:t>
      </w:r>
      <w:proofErr w:type="gramStart"/>
      <w:r w:rsidR="00330745">
        <w:rPr>
          <w:rFonts w:ascii="Times New Roman" w:hAnsi="Times New Roman"/>
          <w:sz w:val="32"/>
          <w:szCs w:val="32"/>
          <w:shd w:val="clear" w:color="auto" w:fill="FFFFFF"/>
        </w:rPr>
        <w:t>la</w:t>
      </w:r>
      <w:proofErr w:type="gramEnd"/>
      <w:r w:rsidR="00330745">
        <w:rPr>
          <w:rFonts w:ascii="Times New Roman" w:hAnsi="Times New Roman"/>
          <w:sz w:val="32"/>
          <w:szCs w:val="32"/>
          <w:shd w:val="clear" w:color="auto" w:fill="FFFFFF"/>
        </w:rPr>
        <w:t xml:space="preserve"> PS-MAI-DGL-23</w:t>
      </w:r>
    </w:p>
    <w:p w:rsidR="00330745" w:rsidRPr="00782CFD" w:rsidRDefault="00330745">
      <w:pPr>
        <w:pStyle w:val="sanxttl"/>
        <w:divId w:val="1874416191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EE2017" w:rsidRPr="00782CFD" w:rsidRDefault="000352A3" w:rsidP="00330745">
      <w:pPr>
        <w:pStyle w:val="spar"/>
        <w:jc w:val="center"/>
        <w:divId w:val="402408765"/>
        <w:rPr>
          <w:color w:val="000000"/>
          <w:sz w:val="32"/>
          <w:szCs w:val="32"/>
          <w:shd w:val="clear" w:color="auto" w:fill="FFFFFF"/>
        </w:rPr>
      </w:pP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Modelul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listei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cu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documentele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care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atestă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performanţa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la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foc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produselor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pentru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construcţii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cu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rol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în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satisfacerea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cerinţei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fundamentale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„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securitate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la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incendiu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“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ori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celor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care au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performanţe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comportare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la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foc</w:t>
      </w:r>
      <w:proofErr w:type="spellEnd"/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"/>
        <w:gridCol w:w="1474"/>
        <w:gridCol w:w="1100"/>
        <w:gridCol w:w="2336"/>
        <w:gridCol w:w="1741"/>
        <w:gridCol w:w="1582"/>
        <w:gridCol w:w="1866"/>
      </w:tblGrid>
      <w:tr w:rsidR="00EE2017" w:rsidRPr="00782CFD">
        <w:trPr>
          <w:divId w:val="187441619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Nr.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crt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Tipul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produsului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Modelul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Referenţial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document de conformitate^1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Operatorul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economic^2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Persoana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autorizată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care a pus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în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operă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sistemul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/produsul^3</w:t>
            </w:r>
          </w:p>
        </w:tc>
      </w:tr>
      <w:tr w:rsidR="00EE2017" w:rsidRPr="00782CFD">
        <w:trPr>
          <w:divId w:val="18744161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Denumirea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Numărul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autorizaţiei</w:t>
            </w:r>
            <w:proofErr w:type="spellEnd"/>
          </w:p>
        </w:tc>
      </w:tr>
      <w:tr w:rsidR="00EE2017" w:rsidRPr="00782CFD">
        <w:trPr>
          <w:divId w:val="1874416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  <w:tr w:rsidR="00EE2017" w:rsidRPr="00782CFD">
        <w:trPr>
          <w:divId w:val="1874416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  <w:tr w:rsidR="00EE2017" w:rsidRPr="00782CFD">
        <w:trPr>
          <w:divId w:val="1874416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  <w:tr w:rsidR="00EE2017" w:rsidRPr="00782CFD">
        <w:trPr>
          <w:divId w:val="1874416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</w:tbl>
    <w:p w:rsidR="00EE2017" w:rsidRPr="00782CFD" w:rsidRDefault="000352A3">
      <w:pPr>
        <w:autoSpaceDE/>
        <w:autoSpaceDN/>
        <w:ind w:left="225"/>
        <w:jc w:val="both"/>
        <w:divId w:val="1874416191"/>
        <w:rPr>
          <w:rStyle w:val="spar3"/>
          <w:rFonts w:ascii="Times New Roman" w:eastAsia="Times New Roman" w:hAnsi="Times New Roman"/>
          <w:sz w:val="32"/>
          <w:szCs w:val="32"/>
        </w:rPr>
      </w:pPr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^1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Documentele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conformitate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pot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fi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unul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din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următoarele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:</w:t>
      </w:r>
    </w:p>
    <w:p w:rsidR="00EE2017" w:rsidRPr="00782CFD" w:rsidRDefault="000352A3">
      <w:pPr>
        <w:autoSpaceDE/>
        <w:autoSpaceDN/>
        <w:ind w:left="225"/>
        <w:jc w:val="both"/>
        <w:divId w:val="1237857030"/>
        <w:rPr>
          <w:rFonts w:ascii="Times New Roman" w:hAnsi="Times New Roman"/>
          <w:sz w:val="32"/>
          <w:szCs w:val="32"/>
        </w:rPr>
      </w:pPr>
      <w:r w:rsidRPr="00782CFD">
        <w:rPr>
          <w:rStyle w:val="slinttl1"/>
          <w:rFonts w:ascii="Times New Roman" w:eastAsia="Times New Roman" w:hAnsi="Times New Roman"/>
          <w:sz w:val="32"/>
          <w:szCs w:val="32"/>
        </w:rPr>
        <w:t>– </w:t>
      </w:r>
      <w:proofErr w:type="spellStart"/>
      <w:proofErr w:type="gram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certificat</w:t>
      </w:r>
      <w:proofErr w:type="spellEnd"/>
      <w:proofErr w:type="gram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conformitate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(CPD);</w:t>
      </w:r>
    </w:p>
    <w:p w:rsidR="00EE2017" w:rsidRPr="00782CFD" w:rsidRDefault="000352A3">
      <w:pPr>
        <w:autoSpaceDE/>
        <w:autoSpaceDN/>
        <w:ind w:left="225"/>
        <w:jc w:val="both"/>
        <w:divId w:val="326061501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782CFD">
        <w:rPr>
          <w:rStyle w:val="slinttl1"/>
          <w:rFonts w:ascii="Times New Roman" w:eastAsia="Times New Roman" w:hAnsi="Times New Roman"/>
          <w:sz w:val="32"/>
          <w:szCs w:val="32"/>
        </w:rPr>
        <w:t>– </w:t>
      </w:r>
      <w:proofErr w:type="spellStart"/>
      <w:proofErr w:type="gram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declaraţie</w:t>
      </w:r>
      <w:proofErr w:type="spellEnd"/>
      <w:proofErr w:type="gram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conformitate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;</w:t>
      </w:r>
    </w:p>
    <w:p w:rsidR="00EE2017" w:rsidRPr="00782CFD" w:rsidRDefault="000352A3">
      <w:pPr>
        <w:autoSpaceDE/>
        <w:autoSpaceDN/>
        <w:ind w:left="225"/>
        <w:jc w:val="both"/>
        <w:divId w:val="1866211872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782CFD">
        <w:rPr>
          <w:rStyle w:val="slinttl1"/>
          <w:rFonts w:ascii="Times New Roman" w:eastAsia="Times New Roman" w:hAnsi="Times New Roman"/>
          <w:sz w:val="32"/>
          <w:szCs w:val="32"/>
        </w:rPr>
        <w:t>– </w:t>
      </w:r>
      <w:proofErr w:type="spellStart"/>
      <w:proofErr w:type="gram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certificat</w:t>
      </w:r>
      <w:proofErr w:type="spellEnd"/>
      <w:proofErr w:type="gram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constanţă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a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performanţei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produsului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(CPR);</w:t>
      </w:r>
    </w:p>
    <w:p w:rsidR="00EE2017" w:rsidRPr="00782CFD" w:rsidRDefault="000352A3">
      <w:pPr>
        <w:autoSpaceDE/>
        <w:autoSpaceDN/>
        <w:ind w:left="225"/>
        <w:jc w:val="both"/>
        <w:divId w:val="714499831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782CFD">
        <w:rPr>
          <w:rStyle w:val="slinttl1"/>
          <w:rFonts w:ascii="Times New Roman" w:eastAsia="Times New Roman" w:hAnsi="Times New Roman"/>
          <w:sz w:val="32"/>
          <w:szCs w:val="32"/>
        </w:rPr>
        <w:t>– </w:t>
      </w:r>
      <w:proofErr w:type="spellStart"/>
      <w:proofErr w:type="gram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declaraţie</w:t>
      </w:r>
      <w:proofErr w:type="spellEnd"/>
      <w:proofErr w:type="gram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performanţă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(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DoP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);</w:t>
      </w:r>
    </w:p>
    <w:p w:rsidR="00EE2017" w:rsidRPr="00782CFD" w:rsidRDefault="000352A3">
      <w:pPr>
        <w:autoSpaceDE/>
        <w:autoSpaceDN/>
        <w:ind w:left="225"/>
        <w:jc w:val="both"/>
        <w:divId w:val="1023171500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782CFD">
        <w:rPr>
          <w:rStyle w:val="slinttl1"/>
          <w:rFonts w:ascii="Times New Roman" w:eastAsia="Times New Roman" w:hAnsi="Times New Roman"/>
          <w:sz w:val="32"/>
          <w:szCs w:val="32"/>
        </w:rPr>
        <w:t>– </w:t>
      </w:r>
      <w:proofErr w:type="spellStart"/>
      <w:proofErr w:type="gram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evaluare</w:t>
      </w:r>
      <w:proofErr w:type="spellEnd"/>
      <w:proofErr w:type="gram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tehnică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europeană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;</w:t>
      </w:r>
    </w:p>
    <w:p w:rsidR="00EE2017" w:rsidRPr="00782CFD" w:rsidRDefault="000352A3">
      <w:pPr>
        <w:autoSpaceDE/>
        <w:autoSpaceDN/>
        <w:ind w:left="225"/>
        <w:jc w:val="both"/>
        <w:divId w:val="1711883939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782CFD">
        <w:rPr>
          <w:rStyle w:val="slinttl1"/>
          <w:rFonts w:ascii="Times New Roman" w:eastAsia="Times New Roman" w:hAnsi="Times New Roman"/>
          <w:sz w:val="32"/>
          <w:szCs w:val="32"/>
        </w:rPr>
        <w:t>– </w:t>
      </w:r>
      <w:proofErr w:type="spellStart"/>
      <w:proofErr w:type="gram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avizul</w:t>
      </w:r>
      <w:proofErr w:type="spellEnd"/>
      <w:proofErr w:type="gram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tehnic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al CTPC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însoţit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agrementul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tehnic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.</w:t>
      </w:r>
    </w:p>
    <w:p w:rsidR="00EE2017" w:rsidRPr="00782CFD" w:rsidRDefault="000352A3">
      <w:pPr>
        <w:autoSpaceDE/>
        <w:autoSpaceDN/>
        <w:jc w:val="both"/>
        <w:divId w:val="1874416191"/>
        <w:rPr>
          <w:rStyle w:val="sanxbdy"/>
          <w:rFonts w:ascii="Times New Roman" w:hAnsi="Times New Roman"/>
          <w:sz w:val="32"/>
          <w:szCs w:val="32"/>
        </w:rPr>
      </w:pPr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^2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Definit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potrivit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pct. 18 al art. 2 din </w:t>
      </w:r>
      <w:proofErr w:type="spellStart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>Regulamentul</w:t>
      </w:r>
      <w:proofErr w:type="spellEnd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 xml:space="preserve"> (UE) nr. 305/2011</w:t>
      </w:r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al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Parlamentului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European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şi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al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Consiliului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din 9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martie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2011 de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stabilire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a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unor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condiţii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armonizate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pentru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comercializarea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produselor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pentru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construcţii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şi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abrogare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a </w:t>
      </w:r>
      <w:proofErr w:type="spellStart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>Directivei</w:t>
      </w:r>
      <w:proofErr w:type="spellEnd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 xml:space="preserve"> 89/106/CEE </w:t>
      </w:r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a Consiliului^3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Doar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pentru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produsele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care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intră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sub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incidenţa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prevederilor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 xml:space="preserve">art. 53 din </w:t>
      </w:r>
      <w:proofErr w:type="spellStart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>Legea</w:t>
      </w:r>
      <w:proofErr w:type="spellEnd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 xml:space="preserve"> nr. </w:t>
      </w:r>
      <w:proofErr w:type="gramStart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>307/2006</w:t>
      </w:r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privind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apărarea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împotriva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incendiilor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republicată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, cu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modificările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şi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completările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ulterioare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.</w:t>
      </w:r>
      <w:proofErr w:type="gramEnd"/>
    </w:p>
    <w:p w:rsidR="00330745" w:rsidRDefault="00330745">
      <w:pPr>
        <w:pStyle w:val="spar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</w:p>
    <w:p w:rsidR="00330745" w:rsidRDefault="00330745">
      <w:pPr>
        <w:pStyle w:val="spar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</w:p>
    <w:p w:rsidR="00330745" w:rsidRDefault="00330745">
      <w:pPr>
        <w:pStyle w:val="spar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</w:p>
    <w:p w:rsidR="00EE2017" w:rsidRPr="00782CFD" w:rsidRDefault="000352A3">
      <w:pPr>
        <w:pStyle w:val="spar"/>
        <w:jc w:val="center"/>
        <w:divId w:val="167839390"/>
        <w:rPr>
          <w:sz w:val="32"/>
          <w:szCs w:val="32"/>
        </w:rPr>
      </w:pP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Beneficiar</w:t>
      </w:r>
      <w:proofErr w:type="spellEnd"/>
    </w:p>
    <w:p w:rsidR="00EE2017" w:rsidRPr="00782CFD" w:rsidRDefault="000352A3">
      <w:pPr>
        <w:pStyle w:val="spar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  <w:r w:rsidRPr="00782CFD">
        <w:rPr>
          <w:color w:val="000000"/>
          <w:sz w:val="32"/>
          <w:szCs w:val="32"/>
          <w:shd w:val="clear" w:color="auto" w:fill="FFFFFF"/>
        </w:rPr>
        <w:t>....................................</w:t>
      </w:r>
    </w:p>
    <w:p w:rsidR="00EE2017" w:rsidRPr="00782CFD" w:rsidRDefault="000352A3">
      <w:pPr>
        <w:pStyle w:val="spar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Proiectanţi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>/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Reprezentanţi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firmă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autorizată</w:t>
      </w:r>
      <w:proofErr w:type="spellEnd"/>
    </w:p>
    <w:p w:rsidR="00EE2017" w:rsidRPr="00782CFD" w:rsidRDefault="000352A3">
      <w:pPr>
        <w:pStyle w:val="spar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  <w:r w:rsidRPr="00782CFD">
        <w:rPr>
          <w:color w:val="000000"/>
          <w:sz w:val="32"/>
          <w:szCs w:val="32"/>
          <w:shd w:val="clear" w:color="auto" w:fill="FFFFFF"/>
        </w:rPr>
        <w:t>..............................</w:t>
      </w:r>
    </w:p>
    <w:p w:rsidR="00EE2017" w:rsidRPr="00782CFD" w:rsidRDefault="000352A3">
      <w:pPr>
        <w:pStyle w:val="spar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  <w:r w:rsidRPr="00782CFD">
        <w:rPr>
          <w:color w:val="000000"/>
          <w:sz w:val="32"/>
          <w:szCs w:val="32"/>
          <w:shd w:val="clear" w:color="auto" w:fill="FFFFFF"/>
        </w:rPr>
        <w:t>..............................</w:t>
      </w:r>
    </w:p>
    <w:p w:rsidR="00EE2017" w:rsidRPr="00782CFD" w:rsidRDefault="000352A3" w:rsidP="00782CFD">
      <w:pPr>
        <w:pStyle w:val="spar"/>
        <w:spacing w:after="144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  <w:r w:rsidRPr="00782CFD">
        <w:rPr>
          <w:color w:val="000000"/>
          <w:sz w:val="32"/>
          <w:szCs w:val="32"/>
          <w:shd w:val="clear" w:color="auto" w:fill="FFFFFF"/>
        </w:rPr>
        <w:t>..............................</w:t>
      </w:r>
    </w:p>
    <w:sectPr w:rsidR="00EE2017" w:rsidRPr="00782CFD" w:rsidSect="00EE2017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defaultTabStop w:val="720"/>
  <w:doNotHyphenateCaps/>
  <w:drawingGridHorizontalSpacing w:val="0"/>
  <w:drawingGridVerticalSpacing w:val="0"/>
  <w:characterSpacingControl w:val="doNotCompress"/>
  <w:compat/>
  <w:rsids>
    <w:rsidRoot w:val="00CF3A2A"/>
    <w:rsid w:val="000352A3"/>
    <w:rsid w:val="003245D2"/>
    <w:rsid w:val="00330745"/>
    <w:rsid w:val="003603D9"/>
    <w:rsid w:val="0042545C"/>
    <w:rsid w:val="00563011"/>
    <w:rsid w:val="00697905"/>
    <w:rsid w:val="0071417C"/>
    <w:rsid w:val="00782CFD"/>
    <w:rsid w:val="00802784"/>
    <w:rsid w:val="008E07D1"/>
    <w:rsid w:val="00CF3A2A"/>
    <w:rsid w:val="00E66598"/>
    <w:rsid w:val="00EE2017"/>
    <w:rsid w:val="00F1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017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EE2017"/>
    <w:rPr>
      <w:i/>
      <w:iCs/>
      <w:shd w:val="clear" w:color="auto" w:fill="FFFF00"/>
    </w:rPr>
  </w:style>
  <w:style w:type="paragraph" w:customStyle="1" w:styleId="small">
    <w:name w:val="small"/>
    <w:rsid w:val="00EE2017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EE201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EE2017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EE2017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EE2017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EE2017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EE2017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EE20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EE2017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EE20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EE20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EE2017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EE20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EE2017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EE2017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EE2017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EE2017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EE2017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EE2017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EE2017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EE2017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EE2017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EE2017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EE2017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EE2017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EE2017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EE2017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EE2017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EE2017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EE2017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EE2017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EE2017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EE2017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EE2017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EE2017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EE2017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EE2017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EE2017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EE20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EE2017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EE2017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EE2017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EE2017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EE2017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EE2017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EE2017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EE2017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EE201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EE2017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EE2017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EE2017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2017"/>
    <w:rPr>
      <w:rFonts w:ascii="Consolas" w:eastAsia="Verdana" w:hAnsi="Consolas"/>
    </w:rPr>
  </w:style>
  <w:style w:type="paragraph" w:customStyle="1" w:styleId="spar4">
    <w:name w:val="s_par4"/>
    <w:basedOn w:val="Normal"/>
    <w:rsid w:val="00EE2017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EE2017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EE2017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EE2017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EE2017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76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703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32606150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86621187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1449983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2317150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1188393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6783939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florin.vostinar</cp:lastModifiedBy>
  <cp:revision>3</cp:revision>
  <dcterms:created xsi:type="dcterms:W3CDTF">2023-12-28T07:58:00Z</dcterms:created>
  <dcterms:modified xsi:type="dcterms:W3CDTF">2023-12-28T08:03:00Z</dcterms:modified>
</cp:coreProperties>
</file>